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04A18" w14:textId="77777777" w:rsidR="00CD484C" w:rsidRDefault="00CD484C">
      <w:pPr>
        <w:pStyle w:val="30"/>
        <w:ind w:left="0"/>
        <w:rPr>
          <w:sz w:val="24"/>
          <w:szCs w:val="16"/>
        </w:rPr>
      </w:pPr>
      <w:r>
        <w:rPr>
          <w:sz w:val="24"/>
          <w:szCs w:val="16"/>
        </w:rPr>
        <w:t>НАУЧНО-ИССЛЕДОВАТЕЛЬСКАЯ ОРГАНИЗАЦИЯ</w:t>
      </w:r>
    </w:p>
    <w:p w14:paraId="62B74E30" w14:textId="77777777" w:rsidR="00CD484C" w:rsidRDefault="00CD484C">
      <w:pPr>
        <w:pStyle w:val="30"/>
        <w:ind w:left="0"/>
        <w:rPr>
          <w:sz w:val="24"/>
          <w:szCs w:val="16"/>
        </w:rPr>
      </w:pPr>
      <w:r>
        <w:rPr>
          <w:sz w:val="24"/>
          <w:szCs w:val="16"/>
        </w:rPr>
        <w:t>ВЯТСКАЯ АРХЕОЛОГИЧЕСКАЯ ЭКСПЕДИЦИЯ</w:t>
      </w:r>
    </w:p>
    <w:p w14:paraId="2D3F6E9D" w14:textId="77777777" w:rsidR="00CD484C" w:rsidRDefault="00CD484C">
      <w:pPr>
        <w:jc w:val="center"/>
        <w:rPr>
          <w:sz w:val="20"/>
          <w:szCs w:val="16"/>
        </w:rPr>
      </w:pPr>
    </w:p>
    <w:p w14:paraId="75835B71" w14:textId="77777777" w:rsidR="00CD484C" w:rsidRDefault="00CD484C">
      <w:pPr>
        <w:jc w:val="center"/>
        <w:rPr>
          <w:sz w:val="20"/>
          <w:szCs w:val="16"/>
        </w:rPr>
      </w:pPr>
    </w:p>
    <w:p w14:paraId="4B57F928" w14:textId="77777777" w:rsidR="00CD484C" w:rsidRDefault="00CD484C">
      <w:pPr>
        <w:jc w:val="center"/>
        <w:rPr>
          <w:sz w:val="20"/>
          <w:szCs w:val="16"/>
        </w:rPr>
      </w:pPr>
    </w:p>
    <w:p w14:paraId="08FE5E28" w14:textId="77777777" w:rsidR="00CD484C" w:rsidRDefault="00CD484C">
      <w:pPr>
        <w:jc w:val="center"/>
        <w:rPr>
          <w:sz w:val="20"/>
          <w:szCs w:val="16"/>
        </w:rPr>
      </w:pPr>
    </w:p>
    <w:p w14:paraId="216EEA37" w14:textId="77777777" w:rsidR="00CD484C" w:rsidRDefault="00CD484C">
      <w:pPr>
        <w:jc w:val="center"/>
        <w:rPr>
          <w:sz w:val="20"/>
          <w:szCs w:val="16"/>
        </w:rPr>
      </w:pPr>
    </w:p>
    <w:p w14:paraId="371C16F9" w14:textId="77777777" w:rsidR="00CD484C" w:rsidRDefault="00CD484C">
      <w:pPr>
        <w:jc w:val="center"/>
        <w:rPr>
          <w:sz w:val="20"/>
          <w:szCs w:val="16"/>
        </w:rPr>
      </w:pPr>
    </w:p>
    <w:p w14:paraId="4BAA23E0" w14:textId="77777777" w:rsidR="00CD484C" w:rsidRDefault="00CD484C">
      <w:pPr>
        <w:pStyle w:val="2"/>
        <w:ind w:firstLine="0"/>
        <w:rPr>
          <w:b w:val="0"/>
          <w:bCs w:val="0"/>
          <w:sz w:val="36"/>
        </w:rPr>
      </w:pPr>
      <w:r>
        <w:rPr>
          <w:b w:val="0"/>
          <w:bCs w:val="0"/>
          <w:sz w:val="36"/>
        </w:rPr>
        <w:t>Н.А. ХАН</w:t>
      </w:r>
    </w:p>
    <w:p w14:paraId="592F24E9" w14:textId="77777777" w:rsidR="00CD484C" w:rsidRDefault="00CD484C">
      <w:pPr>
        <w:jc w:val="center"/>
        <w:rPr>
          <w:sz w:val="20"/>
          <w:szCs w:val="16"/>
        </w:rPr>
      </w:pPr>
    </w:p>
    <w:p w14:paraId="00A7E500" w14:textId="77777777" w:rsidR="00CD484C" w:rsidRDefault="00CD484C">
      <w:pPr>
        <w:jc w:val="center"/>
        <w:rPr>
          <w:sz w:val="20"/>
          <w:szCs w:val="16"/>
        </w:rPr>
      </w:pPr>
    </w:p>
    <w:p w14:paraId="4408E91F" w14:textId="77777777" w:rsidR="00CD484C" w:rsidRDefault="00CD484C">
      <w:pPr>
        <w:jc w:val="center"/>
        <w:rPr>
          <w:sz w:val="20"/>
          <w:szCs w:val="16"/>
        </w:rPr>
      </w:pPr>
    </w:p>
    <w:p w14:paraId="24E425FA" w14:textId="77777777" w:rsidR="00CD484C" w:rsidRDefault="00CD484C">
      <w:pPr>
        <w:jc w:val="center"/>
        <w:rPr>
          <w:sz w:val="20"/>
          <w:szCs w:val="16"/>
        </w:rPr>
      </w:pPr>
    </w:p>
    <w:p w14:paraId="5F91B359" w14:textId="77777777" w:rsidR="00CD484C" w:rsidRDefault="00CD484C">
      <w:pPr>
        <w:jc w:val="center"/>
        <w:rPr>
          <w:sz w:val="20"/>
          <w:szCs w:val="16"/>
        </w:rPr>
      </w:pPr>
    </w:p>
    <w:p w14:paraId="739A3AC4" w14:textId="77777777" w:rsidR="00CD484C" w:rsidRDefault="00CD484C">
      <w:pPr>
        <w:jc w:val="center"/>
        <w:rPr>
          <w:sz w:val="20"/>
          <w:szCs w:val="16"/>
        </w:rPr>
      </w:pPr>
    </w:p>
    <w:p w14:paraId="7ECD5E72" w14:textId="77777777" w:rsidR="00CD484C" w:rsidRDefault="00CD484C">
      <w:pPr>
        <w:jc w:val="center"/>
        <w:rPr>
          <w:sz w:val="36"/>
          <w:szCs w:val="16"/>
        </w:rPr>
      </w:pPr>
    </w:p>
    <w:p w14:paraId="27AD3553" w14:textId="77777777" w:rsidR="00CD484C" w:rsidRDefault="00CD484C">
      <w:pPr>
        <w:jc w:val="center"/>
        <w:rPr>
          <w:b/>
          <w:bCs/>
          <w:spacing w:val="-4"/>
          <w:sz w:val="36"/>
          <w:szCs w:val="16"/>
        </w:rPr>
      </w:pPr>
      <w:r>
        <w:rPr>
          <w:b/>
          <w:bCs/>
          <w:sz w:val="36"/>
          <w:szCs w:val="16"/>
        </w:rPr>
        <w:t>ОЧЕРКИ</w:t>
      </w:r>
      <w:r w:rsidR="00E0173C">
        <w:rPr>
          <w:b/>
          <w:bCs/>
          <w:sz w:val="36"/>
          <w:szCs w:val="16"/>
        </w:rPr>
        <w:t xml:space="preserve"> О РАСПРОСТРАНЕНИИ</w:t>
      </w:r>
      <w:r>
        <w:rPr>
          <w:b/>
          <w:bCs/>
          <w:sz w:val="36"/>
          <w:szCs w:val="16"/>
        </w:rPr>
        <w:t xml:space="preserve"> </w:t>
      </w:r>
      <w:r>
        <w:rPr>
          <w:b/>
          <w:bCs/>
          <w:sz w:val="36"/>
          <w:szCs w:val="16"/>
        </w:rPr>
        <w:br/>
        <w:t xml:space="preserve">КУФИЧЕСКИХ МОНЕТ НА </w:t>
      </w:r>
      <w:r>
        <w:rPr>
          <w:b/>
          <w:bCs/>
          <w:sz w:val="36"/>
          <w:szCs w:val="16"/>
        </w:rPr>
        <w:br/>
      </w:r>
      <w:r>
        <w:rPr>
          <w:b/>
          <w:bCs/>
          <w:spacing w:val="-4"/>
          <w:sz w:val="36"/>
          <w:szCs w:val="16"/>
        </w:rPr>
        <w:t>ТЕРРИТОРИИ ВОСТЧНОЙ ЕВРОПЫ</w:t>
      </w:r>
    </w:p>
    <w:p w14:paraId="3AE37902" w14:textId="77777777" w:rsidR="00CD484C" w:rsidRDefault="00CD484C">
      <w:pPr>
        <w:jc w:val="center"/>
        <w:rPr>
          <w:b/>
          <w:bCs/>
          <w:sz w:val="36"/>
          <w:szCs w:val="16"/>
        </w:rPr>
      </w:pPr>
      <w:r>
        <w:rPr>
          <w:b/>
          <w:bCs/>
          <w:sz w:val="36"/>
          <w:szCs w:val="16"/>
        </w:rPr>
        <w:t>В КОНЦЕ VIII – НАЧАЛЕ XI вв.</w:t>
      </w:r>
    </w:p>
    <w:p w14:paraId="43A622FC" w14:textId="77777777" w:rsidR="00CD484C" w:rsidRDefault="00CD484C">
      <w:pPr>
        <w:jc w:val="center"/>
        <w:rPr>
          <w:sz w:val="20"/>
          <w:szCs w:val="16"/>
        </w:rPr>
      </w:pPr>
    </w:p>
    <w:p w14:paraId="5798EE8B" w14:textId="77777777" w:rsidR="00CD484C" w:rsidRDefault="00CD484C">
      <w:pPr>
        <w:jc w:val="center"/>
        <w:rPr>
          <w:sz w:val="20"/>
          <w:szCs w:val="16"/>
        </w:rPr>
      </w:pPr>
    </w:p>
    <w:p w14:paraId="210431E6" w14:textId="77777777" w:rsidR="00CD484C" w:rsidRDefault="00CD484C">
      <w:pPr>
        <w:jc w:val="center"/>
        <w:rPr>
          <w:sz w:val="20"/>
          <w:szCs w:val="16"/>
        </w:rPr>
      </w:pPr>
    </w:p>
    <w:p w14:paraId="38FB1182" w14:textId="77777777" w:rsidR="00CD484C" w:rsidRDefault="00CD484C">
      <w:pPr>
        <w:jc w:val="center"/>
        <w:rPr>
          <w:sz w:val="20"/>
          <w:szCs w:val="16"/>
        </w:rPr>
      </w:pPr>
    </w:p>
    <w:p w14:paraId="12DB709C" w14:textId="77777777" w:rsidR="00CD484C" w:rsidRDefault="00CD484C">
      <w:pPr>
        <w:jc w:val="center"/>
        <w:rPr>
          <w:sz w:val="20"/>
          <w:szCs w:val="16"/>
        </w:rPr>
      </w:pPr>
    </w:p>
    <w:p w14:paraId="077BD5FC" w14:textId="77777777" w:rsidR="00CD484C" w:rsidRDefault="00CD484C">
      <w:pPr>
        <w:jc w:val="center"/>
        <w:rPr>
          <w:sz w:val="20"/>
          <w:szCs w:val="16"/>
        </w:rPr>
      </w:pPr>
    </w:p>
    <w:p w14:paraId="34CCD8B3" w14:textId="77777777" w:rsidR="00CD484C" w:rsidRDefault="00CD484C">
      <w:pPr>
        <w:jc w:val="center"/>
        <w:rPr>
          <w:sz w:val="20"/>
          <w:szCs w:val="16"/>
        </w:rPr>
      </w:pPr>
    </w:p>
    <w:p w14:paraId="31A20EB0" w14:textId="77777777" w:rsidR="00CD484C" w:rsidRDefault="00CD484C">
      <w:pPr>
        <w:jc w:val="center"/>
        <w:rPr>
          <w:sz w:val="20"/>
          <w:szCs w:val="16"/>
        </w:rPr>
      </w:pPr>
    </w:p>
    <w:p w14:paraId="311A509A" w14:textId="77777777" w:rsidR="00CD484C" w:rsidRDefault="00CD484C">
      <w:pPr>
        <w:jc w:val="center"/>
        <w:rPr>
          <w:sz w:val="20"/>
          <w:szCs w:val="16"/>
        </w:rPr>
      </w:pPr>
    </w:p>
    <w:p w14:paraId="5992F58A" w14:textId="77777777" w:rsidR="00CD484C" w:rsidRDefault="00CD484C">
      <w:pPr>
        <w:jc w:val="center"/>
        <w:rPr>
          <w:sz w:val="20"/>
          <w:szCs w:val="16"/>
        </w:rPr>
      </w:pPr>
    </w:p>
    <w:p w14:paraId="75E2A7EA" w14:textId="77777777" w:rsidR="00CD484C" w:rsidRDefault="00CD484C">
      <w:pPr>
        <w:jc w:val="center"/>
        <w:rPr>
          <w:sz w:val="20"/>
          <w:szCs w:val="16"/>
        </w:rPr>
      </w:pPr>
    </w:p>
    <w:p w14:paraId="1350B4B8" w14:textId="77777777" w:rsidR="00CD484C" w:rsidRDefault="00CD484C">
      <w:pPr>
        <w:jc w:val="center"/>
        <w:rPr>
          <w:sz w:val="20"/>
          <w:szCs w:val="16"/>
        </w:rPr>
      </w:pPr>
    </w:p>
    <w:p w14:paraId="1A31C24D" w14:textId="77777777" w:rsidR="00CD484C" w:rsidRDefault="00CD484C">
      <w:pPr>
        <w:jc w:val="center"/>
        <w:rPr>
          <w:sz w:val="20"/>
          <w:szCs w:val="16"/>
        </w:rPr>
      </w:pPr>
    </w:p>
    <w:p w14:paraId="01F7B415" w14:textId="05815ED2" w:rsidR="00CD484C" w:rsidRDefault="00395416">
      <w:pPr>
        <w:jc w:val="center"/>
        <w:rPr>
          <w:sz w:val="20"/>
          <w:szCs w:val="16"/>
        </w:rPr>
      </w:pPr>
      <w:r>
        <w:rPr>
          <w:noProof/>
          <w:sz w:val="20"/>
          <w:szCs w:val="16"/>
        </w:rPr>
        <w:drawing>
          <wp:anchor distT="0" distB="0" distL="114300" distR="114300" simplePos="0" relativeHeight="251610624" behindDoc="0" locked="0" layoutInCell="1" allowOverlap="1" wp14:anchorId="68492268" wp14:editId="46F02327">
            <wp:simplePos x="0" y="0"/>
            <wp:positionH relativeFrom="column">
              <wp:align>center</wp:align>
            </wp:positionH>
            <wp:positionV relativeFrom="paragraph">
              <wp:posOffset>104140</wp:posOffset>
            </wp:positionV>
            <wp:extent cx="514985" cy="541020"/>
            <wp:effectExtent l="0" t="0" r="0" b="0"/>
            <wp:wrapNone/>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985"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C42E46" w14:textId="77777777" w:rsidR="00CD484C" w:rsidRDefault="00CD484C">
      <w:pPr>
        <w:jc w:val="center"/>
        <w:rPr>
          <w:sz w:val="20"/>
          <w:szCs w:val="16"/>
        </w:rPr>
      </w:pPr>
    </w:p>
    <w:p w14:paraId="7F2FE016" w14:textId="77777777" w:rsidR="00CD484C" w:rsidRDefault="00CD484C">
      <w:pPr>
        <w:jc w:val="center"/>
        <w:rPr>
          <w:sz w:val="20"/>
          <w:szCs w:val="16"/>
        </w:rPr>
      </w:pPr>
    </w:p>
    <w:p w14:paraId="6AB4A6B9" w14:textId="77777777" w:rsidR="00CD484C" w:rsidRDefault="00CD484C">
      <w:pPr>
        <w:jc w:val="center"/>
        <w:rPr>
          <w:sz w:val="20"/>
          <w:szCs w:val="16"/>
        </w:rPr>
      </w:pPr>
    </w:p>
    <w:p w14:paraId="2F6CF56E" w14:textId="77777777" w:rsidR="00CD484C" w:rsidRDefault="00CD484C">
      <w:pPr>
        <w:jc w:val="center"/>
        <w:rPr>
          <w:sz w:val="20"/>
          <w:szCs w:val="16"/>
        </w:rPr>
      </w:pPr>
    </w:p>
    <w:p w14:paraId="021037DC" w14:textId="77777777" w:rsidR="00CD484C" w:rsidRDefault="00CD484C">
      <w:pPr>
        <w:pStyle w:val="3"/>
        <w:ind w:firstLine="0"/>
        <w:rPr>
          <w:sz w:val="20"/>
        </w:rPr>
      </w:pPr>
      <w:r>
        <w:t>Москва 2004</w:t>
      </w:r>
    </w:p>
    <w:p w14:paraId="433B9D8E" w14:textId="77777777" w:rsidR="00CD484C" w:rsidRDefault="00CD484C">
      <w:pPr>
        <w:jc w:val="center"/>
        <w:rPr>
          <w:sz w:val="20"/>
          <w:szCs w:val="16"/>
        </w:rPr>
      </w:pPr>
    </w:p>
    <w:p w14:paraId="611837FD" w14:textId="77777777" w:rsidR="00CD484C" w:rsidRDefault="00CD484C">
      <w:pPr>
        <w:pStyle w:val="a5"/>
        <w:overflowPunct/>
        <w:autoSpaceDE/>
        <w:autoSpaceDN/>
        <w:adjustRightInd/>
        <w:textAlignment w:val="auto"/>
        <w:rPr>
          <w:sz w:val="22"/>
          <w:szCs w:val="16"/>
        </w:rPr>
      </w:pPr>
    </w:p>
    <w:p w14:paraId="7928C8DD" w14:textId="77777777" w:rsidR="00CD484C" w:rsidRDefault="00CD484C">
      <w:pPr>
        <w:pStyle w:val="a5"/>
        <w:overflowPunct/>
        <w:autoSpaceDE/>
        <w:autoSpaceDN/>
        <w:adjustRightInd/>
        <w:textAlignment w:val="auto"/>
        <w:rPr>
          <w:sz w:val="22"/>
          <w:szCs w:val="16"/>
        </w:rPr>
      </w:pPr>
      <w:r>
        <w:rPr>
          <w:sz w:val="22"/>
          <w:szCs w:val="16"/>
        </w:rPr>
        <w:lastRenderedPageBreak/>
        <w:t>УДК</w:t>
      </w:r>
    </w:p>
    <w:p w14:paraId="2CAEABF7" w14:textId="77777777" w:rsidR="00CD484C" w:rsidRDefault="00CD484C">
      <w:pPr>
        <w:pStyle w:val="a5"/>
        <w:overflowPunct/>
        <w:autoSpaceDE/>
        <w:autoSpaceDN/>
        <w:adjustRightInd/>
        <w:textAlignment w:val="auto"/>
        <w:rPr>
          <w:sz w:val="22"/>
          <w:szCs w:val="16"/>
        </w:rPr>
      </w:pPr>
      <w:r>
        <w:rPr>
          <w:sz w:val="22"/>
          <w:szCs w:val="16"/>
        </w:rPr>
        <w:t>ББК</w:t>
      </w:r>
    </w:p>
    <w:p w14:paraId="4407E8F0" w14:textId="77777777" w:rsidR="00CD484C" w:rsidRDefault="00CD484C">
      <w:pPr>
        <w:pStyle w:val="a5"/>
        <w:overflowPunct/>
        <w:autoSpaceDE/>
        <w:autoSpaceDN/>
        <w:adjustRightInd/>
        <w:textAlignment w:val="auto"/>
        <w:rPr>
          <w:sz w:val="22"/>
          <w:szCs w:val="16"/>
        </w:rPr>
      </w:pPr>
      <w:r>
        <w:rPr>
          <w:sz w:val="22"/>
          <w:szCs w:val="16"/>
        </w:rPr>
        <w:t xml:space="preserve">     Х</w:t>
      </w:r>
    </w:p>
    <w:p w14:paraId="7E802097" w14:textId="77777777" w:rsidR="00CD484C" w:rsidRDefault="00CD484C">
      <w:pPr>
        <w:pStyle w:val="a5"/>
        <w:overflowPunct/>
        <w:autoSpaceDE/>
        <w:autoSpaceDN/>
        <w:adjustRightInd/>
        <w:textAlignment w:val="auto"/>
        <w:rPr>
          <w:sz w:val="22"/>
          <w:szCs w:val="16"/>
        </w:rPr>
      </w:pPr>
    </w:p>
    <w:p w14:paraId="146F4628" w14:textId="77777777" w:rsidR="00CD484C" w:rsidRDefault="00CD484C">
      <w:pPr>
        <w:pStyle w:val="a5"/>
        <w:overflowPunct/>
        <w:autoSpaceDE/>
        <w:autoSpaceDN/>
        <w:adjustRightInd/>
        <w:textAlignment w:val="auto"/>
        <w:rPr>
          <w:sz w:val="22"/>
          <w:szCs w:val="16"/>
        </w:rPr>
      </w:pPr>
    </w:p>
    <w:p w14:paraId="0BE32568" w14:textId="77777777" w:rsidR="00CD484C" w:rsidRDefault="00CD484C">
      <w:pPr>
        <w:pStyle w:val="a5"/>
        <w:overflowPunct/>
        <w:autoSpaceDE/>
        <w:autoSpaceDN/>
        <w:adjustRightInd/>
        <w:textAlignment w:val="auto"/>
        <w:rPr>
          <w:sz w:val="22"/>
          <w:szCs w:val="16"/>
        </w:rPr>
      </w:pPr>
    </w:p>
    <w:p w14:paraId="241EB517" w14:textId="77777777" w:rsidR="00CD484C" w:rsidRDefault="00CD484C">
      <w:pPr>
        <w:pStyle w:val="a5"/>
        <w:overflowPunct/>
        <w:autoSpaceDE/>
        <w:autoSpaceDN/>
        <w:adjustRightInd/>
        <w:textAlignment w:val="auto"/>
        <w:rPr>
          <w:sz w:val="22"/>
          <w:szCs w:val="16"/>
        </w:rPr>
      </w:pPr>
    </w:p>
    <w:p w14:paraId="4915F092" w14:textId="77777777" w:rsidR="00CD484C" w:rsidRDefault="00CD484C">
      <w:pPr>
        <w:pStyle w:val="a5"/>
        <w:overflowPunct/>
        <w:autoSpaceDE/>
        <w:autoSpaceDN/>
        <w:adjustRightInd/>
        <w:textAlignment w:val="auto"/>
        <w:rPr>
          <w:sz w:val="22"/>
          <w:szCs w:val="16"/>
        </w:rPr>
      </w:pPr>
    </w:p>
    <w:p w14:paraId="69BAFA3C" w14:textId="77777777" w:rsidR="00CD484C" w:rsidRDefault="00CD484C">
      <w:pPr>
        <w:pStyle w:val="a5"/>
        <w:overflowPunct/>
        <w:autoSpaceDE/>
        <w:autoSpaceDN/>
        <w:adjustRightInd/>
        <w:textAlignment w:val="auto"/>
        <w:rPr>
          <w:sz w:val="22"/>
          <w:szCs w:val="16"/>
        </w:rPr>
      </w:pPr>
    </w:p>
    <w:p w14:paraId="451ED0E6" w14:textId="77777777" w:rsidR="00CD484C" w:rsidRDefault="00CD484C">
      <w:pPr>
        <w:pStyle w:val="a5"/>
        <w:overflowPunct/>
        <w:autoSpaceDE/>
        <w:autoSpaceDN/>
        <w:adjustRightInd/>
        <w:textAlignment w:val="auto"/>
        <w:rPr>
          <w:sz w:val="22"/>
          <w:szCs w:val="16"/>
        </w:rPr>
      </w:pPr>
    </w:p>
    <w:p w14:paraId="4A40E01F" w14:textId="77777777" w:rsidR="00CD484C" w:rsidRDefault="00CD484C">
      <w:pPr>
        <w:pStyle w:val="a5"/>
        <w:overflowPunct/>
        <w:autoSpaceDE/>
        <w:autoSpaceDN/>
        <w:adjustRightInd/>
        <w:textAlignment w:val="auto"/>
        <w:rPr>
          <w:sz w:val="22"/>
          <w:szCs w:val="16"/>
        </w:rPr>
      </w:pPr>
    </w:p>
    <w:p w14:paraId="35E2D390" w14:textId="77777777" w:rsidR="00CD484C" w:rsidRDefault="00CD484C">
      <w:pPr>
        <w:ind w:firstLine="397"/>
        <w:jc w:val="both"/>
        <w:rPr>
          <w:sz w:val="20"/>
          <w:szCs w:val="16"/>
        </w:rPr>
      </w:pPr>
    </w:p>
    <w:p w14:paraId="59DB0E08" w14:textId="77777777" w:rsidR="00CD484C" w:rsidRDefault="00CD484C">
      <w:pPr>
        <w:ind w:firstLine="397"/>
        <w:jc w:val="both"/>
        <w:rPr>
          <w:b/>
          <w:bCs/>
          <w:sz w:val="22"/>
          <w:szCs w:val="16"/>
        </w:rPr>
      </w:pPr>
      <w:r>
        <w:rPr>
          <w:b/>
          <w:bCs/>
          <w:sz w:val="22"/>
          <w:szCs w:val="16"/>
        </w:rPr>
        <w:t xml:space="preserve">       Хан Н.А.</w:t>
      </w:r>
    </w:p>
    <w:p w14:paraId="43B63720" w14:textId="77777777" w:rsidR="00CD484C" w:rsidRDefault="00CD484C">
      <w:pPr>
        <w:jc w:val="both"/>
        <w:rPr>
          <w:sz w:val="22"/>
          <w:szCs w:val="16"/>
        </w:rPr>
      </w:pPr>
      <w:r>
        <w:rPr>
          <w:sz w:val="22"/>
          <w:szCs w:val="16"/>
        </w:rPr>
        <w:t xml:space="preserve">Х        Очерки распространения куфических монет на территории </w:t>
      </w:r>
      <w:r>
        <w:rPr>
          <w:sz w:val="22"/>
          <w:szCs w:val="16"/>
        </w:rPr>
        <w:br/>
        <w:t xml:space="preserve">        Восточной Европы в конце VIII – начале XI вв. – М.: Компа-</w:t>
      </w:r>
      <w:r>
        <w:rPr>
          <w:sz w:val="22"/>
          <w:szCs w:val="16"/>
        </w:rPr>
        <w:br/>
        <w:t xml:space="preserve">        ния «Спутник». – 2004. – … с. … рис.</w:t>
      </w:r>
    </w:p>
    <w:p w14:paraId="406DA7E2" w14:textId="77777777" w:rsidR="00CD484C" w:rsidRDefault="00CD484C">
      <w:pPr>
        <w:ind w:firstLine="397"/>
        <w:jc w:val="both"/>
        <w:rPr>
          <w:sz w:val="22"/>
          <w:szCs w:val="16"/>
        </w:rPr>
      </w:pPr>
    </w:p>
    <w:p w14:paraId="49CE5A19" w14:textId="77777777" w:rsidR="00CD484C" w:rsidRDefault="00CD484C">
      <w:pPr>
        <w:jc w:val="both"/>
        <w:rPr>
          <w:sz w:val="22"/>
          <w:szCs w:val="16"/>
        </w:rPr>
      </w:pPr>
      <w:r>
        <w:rPr>
          <w:sz w:val="22"/>
          <w:szCs w:val="16"/>
        </w:rPr>
        <w:t xml:space="preserve">ISBN </w:t>
      </w:r>
      <w:r>
        <w:rPr>
          <w:sz w:val="22"/>
          <w:szCs w:val="22"/>
        </w:rPr>
        <w:t>5-93406-…-..</w:t>
      </w:r>
    </w:p>
    <w:p w14:paraId="0C63587D" w14:textId="77777777" w:rsidR="00CD484C" w:rsidRDefault="00CD484C">
      <w:pPr>
        <w:ind w:firstLine="397"/>
        <w:jc w:val="both"/>
        <w:rPr>
          <w:sz w:val="22"/>
          <w:szCs w:val="16"/>
        </w:rPr>
      </w:pPr>
    </w:p>
    <w:p w14:paraId="5A4659FF" w14:textId="77777777" w:rsidR="00CD484C" w:rsidRDefault="00CD484C">
      <w:pPr>
        <w:ind w:firstLine="397"/>
        <w:jc w:val="both"/>
        <w:rPr>
          <w:sz w:val="22"/>
          <w:szCs w:val="16"/>
        </w:rPr>
      </w:pPr>
    </w:p>
    <w:p w14:paraId="57F77A61" w14:textId="77777777" w:rsidR="00CD484C" w:rsidRDefault="00CD484C">
      <w:pPr>
        <w:ind w:firstLine="397"/>
        <w:jc w:val="both"/>
        <w:rPr>
          <w:sz w:val="20"/>
          <w:szCs w:val="16"/>
        </w:rPr>
      </w:pPr>
      <w:r>
        <w:rPr>
          <w:sz w:val="20"/>
          <w:szCs w:val="16"/>
        </w:rPr>
        <w:t xml:space="preserve">В очерках рассматриваются вопросы, связанные с распространением куфической монеты в Восточной Европе, подробно анализируются ближайшие рынки  ее поступления – Волжская Булгария, Армения и Азербайджан. В качестве аналогий широко привлекаются клады, происходящие с родины-эмитента. В работе используется хорошо апробированные на практике методики анализа кладов, предлагается  методика эмиссионного распределения денежных депозитов с восточной монетой. Нумизматический материал, приведенный в очерках, позволил, в сочетании с данными письменных источников, выявить, некоторые перипетии политической истории в Иране и Ираке, связанные со сменой власти багдадских халифов. Уделено внимание проникновению викингов в Южный Прикаспий и в Центральную Азию. Книга будет полезна историкам, востоковедам археологам, нумизматам, всем кто интересуется историей и нумизматов эпохи раннего средневековья. </w:t>
      </w:r>
    </w:p>
    <w:p w14:paraId="4C1EC6E9" w14:textId="77777777" w:rsidR="00CD484C" w:rsidRDefault="00CD484C">
      <w:pPr>
        <w:ind w:firstLine="397"/>
        <w:jc w:val="both"/>
        <w:rPr>
          <w:sz w:val="20"/>
          <w:szCs w:val="16"/>
        </w:rPr>
      </w:pPr>
    </w:p>
    <w:p w14:paraId="53C1B328" w14:textId="77777777" w:rsidR="00CD484C" w:rsidRDefault="00CD484C">
      <w:pPr>
        <w:pStyle w:val="a5"/>
        <w:overflowPunct/>
        <w:autoSpaceDE/>
        <w:autoSpaceDN/>
        <w:adjustRightInd/>
        <w:jc w:val="right"/>
        <w:textAlignment w:val="auto"/>
        <w:rPr>
          <w:szCs w:val="16"/>
        </w:rPr>
      </w:pPr>
      <w:r>
        <w:rPr>
          <w:szCs w:val="16"/>
        </w:rPr>
        <w:t>УДК</w:t>
      </w:r>
    </w:p>
    <w:p w14:paraId="4902EF8E" w14:textId="77777777" w:rsidR="00CD484C" w:rsidRDefault="00CD484C">
      <w:pPr>
        <w:pStyle w:val="a5"/>
        <w:overflowPunct/>
        <w:autoSpaceDE/>
        <w:autoSpaceDN/>
        <w:adjustRightInd/>
        <w:jc w:val="right"/>
        <w:textAlignment w:val="auto"/>
        <w:rPr>
          <w:szCs w:val="16"/>
        </w:rPr>
      </w:pPr>
      <w:r>
        <w:rPr>
          <w:szCs w:val="16"/>
        </w:rPr>
        <w:t>ББК</w:t>
      </w:r>
    </w:p>
    <w:p w14:paraId="10ACF541" w14:textId="77777777" w:rsidR="00CD484C" w:rsidRDefault="00CD484C">
      <w:pPr>
        <w:ind w:firstLine="397"/>
        <w:jc w:val="both"/>
        <w:rPr>
          <w:sz w:val="20"/>
          <w:szCs w:val="16"/>
        </w:rPr>
      </w:pPr>
    </w:p>
    <w:p w14:paraId="564969D9" w14:textId="77777777" w:rsidR="00CD484C" w:rsidRDefault="00CD484C">
      <w:pPr>
        <w:jc w:val="both"/>
        <w:rPr>
          <w:sz w:val="20"/>
          <w:szCs w:val="16"/>
        </w:rPr>
      </w:pPr>
      <w:r>
        <w:rPr>
          <w:sz w:val="20"/>
          <w:szCs w:val="16"/>
        </w:rPr>
        <w:t xml:space="preserve">ISBN </w:t>
      </w:r>
      <w:r>
        <w:rPr>
          <w:sz w:val="20"/>
          <w:szCs w:val="22"/>
        </w:rPr>
        <w:t>5-93406-…-..</w:t>
      </w:r>
      <w:r>
        <w:rPr>
          <w:sz w:val="20"/>
          <w:szCs w:val="16"/>
        </w:rPr>
        <w:t xml:space="preserve">                                                                  © Хан Н.А., 2004</w:t>
      </w:r>
    </w:p>
    <w:p w14:paraId="596E7C40" w14:textId="77777777" w:rsidR="00CD484C" w:rsidRDefault="00CD484C">
      <w:pPr>
        <w:jc w:val="right"/>
        <w:rPr>
          <w:sz w:val="20"/>
          <w:szCs w:val="16"/>
        </w:rPr>
      </w:pPr>
      <w:r>
        <w:rPr>
          <w:sz w:val="20"/>
          <w:szCs w:val="16"/>
        </w:rPr>
        <w:t>© НИО Вятская археологическая экспедиция</w:t>
      </w:r>
    </w:p>
    <w:p w14:paraId="7EA19BF5" w14:textId="4F9DA203" w:rsidR="00CD484C" w:rsidRDefault="00395416">
      <w:pPr>
        <w:ind w:firstLine="397"/>
        <w:jc w:val="both"/>
        <w:rPr>
          <w:sz w:val="20"/>
          <w:szCs w:val="16"/>
        </w:rPr>
      </w:pPr>
      <w:r>
        <w:rPr>
          <w:noProof/>
          <w:sz w:val="20"/>
          <w:szCs w:val="16"/>
        </w:rPr>
        <mc:AlternateContent>
          <mc:Choice Requires="wps">
            <w:drawing>
              <wp:anchor distT="0" distB="0" distL="114300" distR="114300" simplePos="0" relativeHeight="251701760" behindDoc="0" locked="0" layoutInCell="1" allowOverlap="1" wp14:anchorId="58B9CBCB" wp14:editId="321AF7B5">
                <wp:simplePos x="0" y="0"/>
                <wp:positionH relativeFrom="column">
                  <wp:posOffset>1420495</wp:posOffset>
                </wp:positionH>
                <wp:positionV relativeFrom="paragraph">
                  <wp:posOffset>94615</wp:posOffset>
                </wp:positionV>
                <wp:extent cx="1028700" cy="342900"/>
                <wp:effectExtent l="0" t="0" r="2540" b="1905"/>
                <wp:wrapNone/>
                <wp:docPr id="1385651707"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28FA4" id="Rectangle 269" o:spid="_x0000_s1026" style="position:absolute;margin-left:111.85pt;margin-top:7.45pt;width:81pt;height:2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" stroked="f"/>
            </w:pict>
          </mc:Fallback>
        </mc:AlternateContent>
      </w:r>
    </w:p>
    <w:p w14:paraId="18E8F7BF" w14:textId="77777777" w:rsidR="00CD484C" w:rsidRDefault="00CD484C">
      <w:pPr>
        <w:ind w:firstLine="397"/>
        <w:jc w:val="both"/>
        <w:rPr>
          <w:sz w:val="20"/>
          <w:szCs w:val="16"/>
        </w:rPr>
        <w:sectPr w:rsidR="00CD484C" w:rsidSect="00575D8E">
          <w:headerReference w:type="even" r:id="rId8"/>
          <w:headerReference w:type="default" r:id="rId9"/>
          <w:footerReference w:type="even" r:id="rId10"/>
          <w:footerReference w:type="default" r:id="rId11"/>
          <w:type w:val="continuous"/>
          <w:pgSz w:w="8392" w:h="11907" w:code="11"/>
          <w:pgMar w:top="567" w:right="1134" w:bottom="567" w:left="851" w:header="720" w:footer="567" w:gutter="0"/>
          <w:paperSrc w:first="7" w:other="7"/>
          <w:cols w:space="720"/>
          <w:titlePg/>
        </w:sectPr>
      </w:pPr>
    </w:p>
    <w:p w14:paraId="3C752A09" w14:textId="77777777" w:rsidR="00CD484C" w:rsidRDefault="00CD484C">
      <w:pPr>
        <w:pStyle w:val="a3"/>
      </w:pPr>
      <w:r>
        <w:lastRenderedPageBreak/>
        <w:t>ВВЕДЕНИЕ</w:t>
      </w:r>
    </w:p>
    <w:p w14:paraId="75DA7854" w14:textId="77777777" w:rsidR="00CD484C" w:rsidRDefault="00CD484C">
      <w:pPr>
        <w:ind w:firstLine="397"/>
        <w:jc w:val="both"/>
        <w:rPr>
          <w:sz w:val="20"/>
          <w:szCs w:val="16"/>
        </w:rPr>
      </w:pPr>
      <w:r>
        <w:rPr>
          <w:sz w:val="20"/>
          <w:szCs w:val="16"/>
        </w:rPr>
        <w:t xml:space="preserve">Дальняя трансконтинентальная торговля в древности и раннем средневековье всегда занимала большое место в экономике государств, расположенных в различных частях ойкумены. Торговля, как наиболее цивилизованный способ распределения избыточного продукта, всегда выступала в роли двигателя экономического развития. На бескрайних просторах Евразии путешественники и купцы, перемещая различные товары, способствовали преодолению замкнутости отдельных политических образований, становились главными передатчиками культурных ценностей. </w:t>
      </w:r>
    </w:p>
    <w:p w14:paraId="59471F48" w14:textId="77777777" w:rsidR="00CD484C" w:rsidRDefault="00CD484C">
      <w:pPr>
        <w:ind w:firstLine="397"/>
        <w:jc w:val="both"/>
        <w:rPr>
          <w:sz w:val="20"/>
          <w:szCs w:val="16"/>
        </w:rPr>
      </w:pPr>
      <w:r>
        <w:rPr>
          <w:sz w:val="20"/>
          <w:szCs w:val="16"/>
        </w:rPr>
        <w:t>В античности и раннем средневековье сложились основной ассортимент товаров – в основном элитные дары природы и изделия ремесла, наиболее приемлемые для трансевразийской торговли и направления торговых путей. Среди товаров отметим самые известные – шёлк, пряности, драгоценные металлы.</w:t>
      </w:r>
    </w:p>
    <w:p w14:paraId="1887F53C" w14:textId="77777777" w:rsidR="00CD484C" w:rsidRDefault="00CD484C">
      <w:pPr>
        <w:ind w:firstLine="397"/>
        <w:jc w:val="both"/>
        <w:rPr>
          <w:sz w:val="20"/>
          <w:szCs w:val="16"/>
        </w:rPr>
      </w:pPr>
      <w:r>
        <w:rPr>
          <w:sz w:val="20"/>
          <w:szCs w:val="16"/>
        </w:rPr>
        <w:t>Для обслуживания товарного оборота в средневековье были необходимы соответствующие средства-товары, служившие мерилом масштаба цен. В этих условиях изучение дальней трансконтинентальной торговли представляет значительный интерес, т.к. при всей условности первых стихийно сложившихся товаро-денег, которые участвовали в обмене между некоторыми торговыми партнерами, именно дальняя трансевразийская торговля демонстрировала в познавательном плане доминанту денег и являлась основанием для появления мировых средств обмена.</w:t>
      </w:r>
    </w:p>
    <w:p w14:paraId="32D7BDBD" w14:textId="77777777" w:rsidR="00CD484C" w:rsidRDefault="00CD484C">
      <w:pPr>
        <w:ind w:firstLine="397"/>
        <w:jc w:val="both"/>
        <w:rPr>
          <w:sz w:val="20"/>
          <w:szCs w:val="16"/>
        </w:rPr>
      </w:pPr>
      <w:r>
        <w:rPr>
          <w:sz w:val="20"/>
          <w:szCs w:val="16"/>
        </w:rPr>
        <w:t>В нумизматике главным источником для изучения денежного обращения, и как, следствие, дальней трансевразийской торговли являются клады восточных монет в изобилии находимых на землях Восточной, Северной и Центральной Европы. Их число только в Европе Восточной перевалило за 400, и каждый год оно увеличивается на 3–4 клада.</w:t>
      </w:r>
    </w:p>
    <w:p w14:paraId="1996C551" w14:textId="77777777" w:rsidR="00CD484C" w:rsidRDefault="00CD484C">
      <w:pPr>
        <w:ind w:firstLine="397"/>
        <w:jc w:val="both"/>
        <w:rPr>
          <w:spacing w:val="-2"/>
          <w:sz w:val="20"/>
          <w:szCs w:val="16"/>
        </w:rPr>
      </w:pPr>
      <w:r>
        <w:rPr>
          <w:spacing w:val="-2"/>
          <w:sz w:val="20"/>
          <w:szCs w:val="16"/>
        </w:rPr>
        <w:t>Движение серебра в Европу было вызвано потребностями торговли населения Восточной и Северной Европы и имело определенное значение для экономики стран-экспортеров. Финансовые ресурсы стран Арабского халифата для своего времени были поистине огромны, о чем свидетельствуют сообщение Ибн Хордадбека о налоговых поступлениях, исчисляемых десятками и сотнями миллионов дирхемов (Ибн Хордадбек, 1968. – С. 68).</w:t>
      </w:r>
    </w:p>
    <w:p w14:paraId="481C7D1B" w14:textId="0BE612E5" w:rsidR="00CD484C" w:rsidRDefault="00395416">
      <w:pPr>
        <w:ind w:firstLine="397"/>
        <w:jc w:val="both"/>
        <w:rPr>
          <w:sz w:val="20"/>
          <w:szCs w:val="16"/>
        </w:rPr>
      </w:pPr>
      <w:r>
        <w:rPr>
          <w:noProof/>
          <w:sz w:val="20"/>
          <w:szCs w:val="16"/>
        </w:rPr>
        <w:lastRenderedPageBreak/>
        <mc:AlternateContent>
          <mc:Choice Requires="wps">
            <w:drawing>
              <wp:anchor distT="0" distB="0" distL="114300" distR="114300" simplePos="0" relativeHeight="251611648" behindDoc="0" locked="1" layoutInCell="1" allowOverlap="1" wp14:anchorId="6ACC06AE" wp14:editId="7C0CA36A">
                <wp:simplePos x="0" y="0"/>
                <wp:positionH relativeFrom="column">
                  <wp:align>center</wp:align>
                </wp:positionH>
                <wp:positionV relativeFrom="paragraph">
                  <wp:posOffset>-252730</wp:posOffset>
                </wp:positionV>
                <wp:extent cx="4095750" cy="186690"/>
                <wp:effectExtent l="1905" t="3175" r="0" b="635"/>
                <wp:wrapNone/>
                <wp:docPr id="1735106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CB2B5" w14:textId="77777777" w:rsidR="00AE2133" w:rsidRDefault="00AE2133">
                            <w:pPr>
                              <w:pStyle w:val="a3"/>
                              <w:spacing w:before="0" w:after="0"/>
                              <w:rPr>
                                <w:szCs w:val="24"/>
                                <w:u w:val="single"/>
                              </w:rPr>
                            </w:pPr>
                            <w:r>
                              <w:rPr>
                                <w:szCs w:val="24"/>
                                <w:u w:val="single"/>
                              </w:rPr>
                              <w:tab/>
                            </w:r>
                            <w:r>
                              <w:rPr>
                                <w:szCs w:val="24"/>
                                <w:u w:val="single"/>
                              </w:rPr>
                              <w:tab/>
                            </w:r>
                            <w:r>
                              <w:rPr>
                                <w:szCs w:val="24"/>
                                <w:u w:val="single"/>
                              </w:rPr>
                              <w:tab/>
                            </w:r>
                            <w:r>
                              <w:rPr>
                                <w:szCs w:val="24"/>
                                <w:u w:val="single"/>
                              </w:rPr>
                              <w:tab/>
                              <w:t xml:space="preserve">Введение  </w:t>
                            </w:r>
                            <w:r>
                              <w:rPr>
                                <w:szCs w:val="24"/>
                                <w:u w:val="single"/>
                              </w:rPr>
                              <w:tab/>
                            </w:r>
                            <w:r>
                              <w:rPr>
                                <w:szCs w:val="24"/>
                                <w:u w:val="single"/>
                              </w:rPr>
                              <w:tab/>
                            </w:r>
                            <w:r>
                              <w:rPr>
                                <w:szCs w:val="24"/>
                                <w:u w:val="single"/>
                              </w:rPr>
                              <w:tab/>
                            </w:r>
                            <w:r>
                              <w:rPr>
                                <w:szCs w:val="24"/>
                                <w:u w:val="single"/>
                              </w:rPr>
                              <w:tab/>
                            </w:r>
                          </w:p>
                          <w:p w14:paraId="606092A8"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C06AE" id="_x0000_t202" coordsize="21600,21600" o:spt="202" path="m,l,21600r21600,l21600,xe">
                <v:stroke joinstyle="miter"/>
                <v:path gradientshapeok="t" o:connecttype="rect"/>
              </v:shapetype>
              <v:shape id="Text Box 3" o:spid="_x0000_s1026" type="#_x0000_t202" style="position:absolute;left:0;text-align:left;margin-left:0;margin-top:-19.9pt;width:322.5pt;height:14.7pt;z-index:251611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E/6gEAALo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" stroked="f">
                <v:textbox inset="0,0,0,0">
                  <w:txbxContent>
                    <w:p w14:paraId="13FCB2B5" w14:textId="77777777" w:rsidR="00AE2133" w:rsidRDefault="00AE2133">
                      <w:pPr>
                        <w:pStyle w:val="a3"/>
                        <w:spacing w:before="0" w:after="0"/>
                        <w:rPr>
                          <w:szCs w:val="24"/>
                          <w:u w:val="single"/>
                        </w:rPr>
                      </w:pPr>
                      <w:r>
                        <w:rPr>
                          <w:szCs w:val="24"/>
                          <w:u w:val="single"/>
                        </w:rPr>
                        <w:tab/>
                      </w:r>
                      <w:r>
                        <w:rPr>
                          <w:szCs w:val="24"/>
                          <w:u w:val="single"/>
                        </w:rPr>
                        <w:tab/>
                      </w:r>
                      <w:r>
                        <w:rPr>
                          <w:szCs w:val="24"/>
                          <w:u w:val="single"/>
                        </w:rPr>
                        <w:tab/>
                      </w:r>
                      <w:r>
                        <w:rPr>
                          <w:szCs w:val="24"/>
                          <w:u w:val="single"/>
                        </w:rPr>
                        <w:tab/>
                        <w:t xml:space="preserve">Введение  </w:t>
                      </w:r>
                      <w:r>
                        <w:rPr>
                          <w:szCs w:val="24"/>
                          <w:u w:val="single"/>
                        </w:rPr>
                        <w:tab/>
                      </w:r>
                      <w:r>
                        <w:rPr>
                          <w:szCs w:val="24"/>
                          <w:u w:val="single"/>
                        </w:rPr>
                        <w:tab/>
                      </w:r>
                      <w:r>
                        <w:rPr>
                          <w:szCs w:val="24"/>
                          <w:u w:val="single"/>
                        </w:rPr>
                        <w:tab/>
                      </w:r>
                      <w:r>
                        <w:rPr>
                          <w:szCs w:val="24"/>
                          <w:u w:val="single"/>
                        </w:rPr>
                        <w:tab/>
                      </w:r>
                    </w:p>
                    <w:p w14:paraId="606092A8" w14:textId="77777777" w:rsidR="00AE2133" w:rsidRDefault="00AE2133">
                      <w:pPr>
                        <w:rPr>
                          <w:b/>
                          <w:bCs/>
                          <w:sz w:val="2"/>
                          <w:u w:val="single"/>
                        </w:rPr>
                      </w:pPr>
                    </w:p>
                  </w:txbxContent>
                </v:textbox>
                <w10:anchorlock/>
              </v:shape>
            </w:pict>
          </mc:Fallback>
        </mc:AlternateContent>
      </w:r>
      <w:r w:rsidR="00CD484C">
        <w:rPr>
          <w:sz w:val="20"/>
          <w:szCs w:val="16"/>
        </w:rPr>
        <w:t>Методологически выдержанные исследования отечественных  ученых русского денежного обращения, позволили выявить не только особенности формирования и функционирования финансовой системы Древнерусского государства, но на основе анализа хронологического, династийного составов денежных депозитов создать типологию кладов, связав которую с понятием «монетный поток», разрешили тем самым важную источниковедческую проблему.</w:t>
      </w:r>
    </w:p>
    <w:p w14:paraId="07F855FF" w14:textId="77777777" w:rsidR="00CD484C" w:rsidRDefault="00CD484C">
      <w:pPr>
        <w:ind w:firstLine="397"/>
        <w:jc w:val="both"/>
        <w:rPr>
          <w:spacing w:val="-3"/>
          <w:sz w:val="20"/>
          <w:szCs w:val="16"/>
        </w:rPr>
      </w:pPr>
      <w:r>
        <w:rPr>
          <w:spacing w:val="-3"/>
          <w:sz w:val="20"/>
          <w:szCs w:val="16"/>
        </w:rPr>
        <w:t>Источниковедение кладов с куфическими монетами базируется на изучении  их хронологического, династийного и географического составов кладов монет. Данная методика, разработанная Р.Р. Фасмером и В.Л. Яниным на материалах кладов куфических монет, выпавших на территории Восточной Европы, успешно совершенствуется А.В. Фоминым. Рассматривая возможности анализа династийного состава кладов, В.Л. Янин обратил внимание на «закономерное изменение в составе денежного обращения» (Янин В.Л., 1956. – С. 68–69), причем «в начале периода обращения на Руси вместе с молодой монетой из обращения востока происходит довольно много монеты старой, позже, когда приток все новой и новой монеты дело делает свое дело, насыщая и изменяя состав русского денежного обращения». И, если воспользоваться принципами хронологического анализа, то наглядно видно, что имеется в виду и изменения династийного состава кладов, когда хрнолого-династийная характеристика состава денежного обращения показала, что уже в процессе русского денежного обращения, – оно «очищается от целых категорий ранних монет, усваивая монеты новых династий». Последнее наблюдение методически весьма важно, поскольку в процессе перемещения монетного потока в северном и западном направлениях дальше в Европу, по определению В.Л. Янина являющееся «движением монетного серебра», дирхемами сменявших друг друга династий на Востоке, которые, зачастую перекрывая образовывают «свои неповторимые сочетания монет разных династий»  (Янин В.Л., 1956. – С. 69). Это является положительным аргументом в пользу развивающихся товарно-денежных отношений, который также не исключает прямого транзита серебра, представленного в частности, кладом недавно найденном на Троицком XI раскопе Новгорода, имеющий узкий хронологический диапазон (Гайдуков П.Г., Фёдоров-Давыдов Г.А., Янин В.Л., 2000. – С. 55–56). Практически сходные позиции занимал известный американский историк-нумизмат Т. Нунан /Ts. Noonan/, когда настаивал, чтобы при сопоставлении данных различных кладов в географической, так и в хронологической перспективе возможно проведение разграничения между общими характеристиками нескольких находок регионального значения (Ковалев Р.К., Рипслинг Г., 2002. – С. 20).</w:t>
      </w:r>
    </w:p>
    <w:p w14:paraId="5D07BB4D" w14:textId="77777777" w:rsidR="00CD484C" w:rsidRDefault="00CD484C">
      <w:pPr>
        <w:ind w:firstLine="397"/>
        <w:jc w:val="both"/>
        <w:rPr>
          <w:sz w:val="20"/>
          <w:szCs w:val="16"/>
        </w:rPr>
      </w:pPr>
      <w:r>
        <w:rPr>
          <w:sz w:val="20"/>
          <w:szCs w:val="16"/>
        </w:rPr>
        <w:t xml:space="preserve">Формирование монетных потоков может быть изучено с помощью анализа составов монетных дворов, эмитировавших монеты данной категории источников и, таким образом, есть, вероятно, смысл, употребляя вслед </w:t>
      </w:r>
      <w:r>
        <w:rPr>
          <w:sz w:val="20"/>
          <w:szCs w:val="16"/>
        </w:rPr>
        <w:lastRenderedPageBreak/>
        <w:t xml:space="preserve">за Р.Р. Фасмером термин «распределение» говорить об эмиссионном распределении состава монет того или иного клада, которое, как представляется, более точно отражает динамику образования монетного потока, его движение и, абстрагируясь от династийного составов, позволяет также выявить  некоторые перипетии политической и экономической жизни в странах-эмитентах восточной монеты. «Топография монетных находок и состав кладов, – писал выдающийся советский нумизмат И.Г. Спасский, – наглядно вскрывают сложные экономические связи народов и государств в древности. Если на карте соединить места находок кладов денариев с местами чеканки, то десятки линий протянутся к городам Британских островов, Скандинавии, Дании, Нидерландов, Германии, Чехии, Венгрии, Франции, Италии, Испании. Точно также от места находки клада арабских дирхемов сеть линий убежит в сторону Средней Азии, Закавказья, Ирана, Афганистана, Месопотамии, средиземноморского побережья Африки и даже Испании. Разумеется, – резюмирует исследователь, – эти линии далеко не всегда будут соответствовать </w:t>
      </w:r>
      <w:r>
        <w:rPr>
          <w:spacing w:val="40"/>
          <w:sz w:val="20"/>
          <w:szCs w:val="16"/>
        </w:rPr>
        <w:t>непосредственным</w:t>
      </w:r>
      <w:r>
        <w:rPr>
          <w:sz w:val="20"/>
          <w:szCs w:val="16"/>
        </w:rPr>
        <w:t xml:space="preserve"> /разрядка автора – </w:t>
      </w:r>
      <w:r>
        <w:rPr>
          <w:i/>
          <w:sz w:val="20"/>
          <w:szCs w:val="16"/>
        </w:rPr>
        <w:t>Н.Х.</w:t>
      </w:r>
      <w:r>
        <w:rPr>
          <w:sz w:val="20"/>
          <w:szCs w:val="16"/>
        </w:rPr>
        <w:t>/ торговым связям Древней Руси» (Спасский И.Г., 1971. – С. 19). /Рис. 1/.</w:t>
      </w:r>
    </w:p>
    <w:p w14:paraId="0CA96480" w14:textId="77777777" w:rsidR="00CD484C" w:rsidRDefault="00CD484C">
      <w:pPr>
        <w:ind w:firstLine="397"/>
        <w:jc w:val="both"/>
        <w:rPr>
          <w:sz w:val="10"/>
          <w:szCs w:val="16"/>
        </w:rPr>
      </w:pPr>
    </w:p>
    <w:p w14:paraId="598128B6" w14:textId="6439B669" w:rsidR="00CD484C" w:rsidRDefault="00395416">
      <w:pPr>
        <w:jc w:val="center"/>
        <w:rPr>
          <w:sz w:val="20"/>
          <w:szCs w:val="16"/>
        </w:rPr>
      </w:pPr>
      <w:r>
        <w:rPr>
          <w:noProof/>
          <w:sz w:val="20"/>
          <w:szCs w:val="16"/>
        </w:rPr>
        <w:drawing>
          <wp:inline distT="0" distB="0" distL="0" distR="0" wp14:anchorId="3F4D760A" wp14:editId="0AA12CA0">
            <wp:extent cx="4017010" cy="2732405"/>
            <wp:effectExtent l="19050" t="19050" r="254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b="1410"/>
                    <a:stretch>
                      <a:fillRect/>
                    </a:stretch>
                  </pic:blipFill>
                  <pic:spPr bwMode="auto">
                    <a:xfrm>
                      <a:off x="0" y="0"/>
                      <a:ext cx="4017010" cy="2732405"/>
                    </a:xfrm>
                    <a:prstGeom prst="rect">
                      <a:avLst/>
                    </a:prstGeom>
                    <a:noFill/>
                    <a:ln w="6350" cmpd="sng">
                      <a:solidFill>
                        <a:srgbClr val="000000"/>
                      </a:solidFill>
                      <a:miter lim="800000"/>
                      <a:headEnd/>
                      <a:tailEnd/>
                    </a:ln>
                    <a:effectLst/>
                  </pic:spPr>
                </pic:pic>
              </a:graphicData>
            </a:graphic>
          </wp:inline>
        </w:drawing>
      </w:r>
    </w:p>
    <w:p w14:paraId="4B03C062" w14:textId="77777777" w:rsidR="00CD484C" w:rsidRDefault="00CD484C">
      <w:pPr>
        <w:pStyle w:val="a4"/>
        <w:jc w:val="center"/>
        <w:rPr>
          <w:b/>
          <w:bCs/>
          <w:i/>
          <w:iCs/>
          <w:sz w:val="12"/>
          <w:szCs w:val="16"/>
          <w:lang w:val="ru-RU"/>
        </w:rPr>
      </w:pPr>
    </w:p>
    <w:p w14:paraId="69F84983" w14:textId="77777777" w:rsidR="00CD484C" w:rsidRDefault="00CD484C">
      <w:pPr>
        <w:pStyle w:val="a4"/>
        <w:jc w:val="center"/>
        <w:rPr>
          <w:i/>
          <w:iCs/>
          <w:sz w:val="18"/>
          <w:szCs w:val="16"/>
          <w:lang w:val="ru-RU"/>
        </w:rPr>
      </w:pPr>
      <w:r>
        <w:rPr>
          <w:b/>
          <w:bCs/>
          <w:i/>
          <w:iCs/>
          <w:sz w:val="18"/>
          <w:szCs w:val="16"/>
          <w:lang w:val="ru-RU"/>
        </w:rPr>
        <w:t xml:space="preserve">Рис. 1. </w:t>
      </w:r>
      <w:r>
        <w:rPr>
          <w:i/>
          <w:iCs/>
          <w:sz w:val="18"/>
          <w:szCs w:val="16"/>
          <w:lang w:val="ru-RU"/>
        </w:rPr>
        <w:t xml:space="preserve">Эмиссионные связи  по материалам Стародединского клада 1876 г. </w:t>
      </w:r>
      <w:r>
        <w:rPr>
          <w:i/>
          <w:iCs/>
          <w:sz w:val="18"/>
          <w:szCs w:val="16"/>
          <w:lang w:val="ru-RU"/>
        </w:rPr>
        <w:br/>
        <w:t>Белгородской губ. (по И.Г. Спасскому)</w:t>
      </w:r>
    </w:p>
    <w:p w14:paraId="75292597" w14:textId="77777777" w:rsidR="00CD484C" w:rsidRDefault="00CD484C">
      <w:pPr>
        <w:pStyle w:val="a4"/>
        <w:jc w:val="center"/>
        <w:rPr>
          <w:i/>
          <w:iCs/>
          <w:sz w:val="18"/>
          <w:szCs w:val="16"/>
          <w:lang w:val="ru-RU"/>
        </w:rPr>
      </w:pPr>
    </w:p>
    <w:p w14:paraId="46940D7D" w14:textId="6E6E0B1F" w:rsidR="00CD484C" w:rsidRDefault="00CD484C">
      <w:pPr>
        <w:ind w:firstLine="397"/>
        <w:jc w:val="both"/>
        <w:rPr>
          <w:sz w:val="20"/>
          <w:szCs w:val="16"/>
        </w:rPr>
      </w:pPr>
      <w:r>
        <w:rPr>
          <w:sz w:val="20"/>
          <w:szCs w:val="16"/>
        </w:rPr>
        <w:t xml:space="preserve">Эмиссионное распределение монет в ряде кладах Восточной Европы впервые осуществил Р.Р. Фасмер (Фасмер Р.Р., 1925. – С. 246–269),  </w:t>
      </w:r>
      <w:r>
        <w:rPr>
          <w:sz w:val="20"/>
          <w:szCs w:val="16"/>
        </w:rPr>
        <w:lastRenderedPageBreak/>
        <w:t>обра</w:t>
      </w:r>
      <w:r w:rsidR="00395416">
        <w:rPr>
          <w:noProof/>
          <w:sz w:val="20"/>
          <w:szCs w:val="16"/>
        </w:rPr>
        <mc:AlternateContent>
          <mc:Choice Requires="wps">
            <w:drawing>
              <wp:anchor distT="0" distB="0" distL="114300" distR="114300" simplePos="0" relativeHeight="251620864" behindDoc="0" locked="1" layoutInCell="1" allowOverlap="1" wp14:anchorId="30293C8B" wp14:editId="69654DFE">
                <wp:simplePos x="0" y="0"/>
                <wp:positionH relativeFrom="column">
                  <wp:posOffset>0</wp:posOffset>
                </wp:positionH>
                <wp:positionV relativeFrom="paragraph">
                  <wp:posOffset>-252730</wp:posOffset>
                </wp:positionV>
                <wp:extent cx="4095750" cy="186690"/>
                <wp:effectExtent l="0" t="0" r="3810" b="3810"/>
                <wp:wrapNone/>
                <wp:docPr id="122637059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BABBEE" w14:textId="77777777" w:rsidR="00AE2133" w:rsidRDefault="00AE2133">
                            <w:pPr>
                              <w:pStyle w:val="a3"/>
                              <w:spacing w:before="0" w:after="0"/>
                              <w:rPr>
                                <w:szCs w:val="24"/>
                                <w:u w:val="single"/>
                              </w:rPr>
                            </w:pPr>
                            <w:r>
                              <w:rPr>
                                <w:szCs w:val="24"/>
                                <w:u w:val="single"/>
                              </w:rPr>
                              <w:tab/>
                            </w:r>
                            <w:r>
                              <w:rPr>
                                <w:szCs w:val="24"/>
                                <w:u w:val="single"/>
                              </w:rPr>
                              <w:tab/>
                            </w:r>
                            <w:r>
                              <w:rPr>
                                <w:szCs w:val="24"/>
                                <w:u w:val="single"/>
                              </w:rPr>
                              <w:tab/>
                            </w:r>
                            <w:r>
                              <w:rPr>
                                <w:szCs w:val="24"/>
                                <w:u w:val="single"/>
                              </w:rPr>
                              <w:tab/>
                              <w:t xml:space="preserve">Введение  </w:t>
                            </w:r>
                            <w:r>
                              <w:rPr>
                                <w:szCs w:val="24"/>
                                <w:u w:val="single"/>
                              </w:rPr>
                              <w:tab/>
                            </w:r>
                            <w:r>
                              <w:rPr>
                                <w:szCs w:val="24"/>
                                <w:u w:val="single"/>
                              </w:rPr>
                              <w:tab/>
                            </w:r>
                            <w:r>
                              <w:rPr>
                                <w:szCs w:val="24"/>
                                <w:u w:val="single"/>
                              </w:rPr>
                              <w:tab/>
                            </w:r>
                            <w:r>
                              <w:rPr>
                                <w:szCs w:val="24"/>
                                <w:u w:val="single"/>
                              </w:rPr>
                              <w:tab/>
                            </w:r>
                          </w:p>
                          <w:p w14:paraId="44C85FD2"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93C8B" id="Text Box 173" o:spid="_x0000_s1027" type="#_x0000_t202" style="position:absolute;left:0;text-align:left;margin-left:0;margin-top:-19.9pt;width:322.5pt;height:14.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" stroked="f">
                <v:textbox inset="0,0,0,0">
                  <w:txbxContent>
                    <w:p w14:paraId="06BABBEE" w14:textId="77777777" w:rsidR="00AE2133" w:rsidRDefault="00AE2133">
                      <w:pPr>
                        <w:pStyle w:val="a3"/>
                        <w:spacing w:before="0" w:after="0"/>
                        <w:rPr>
                          <w:szCs w:val="24"/>
                          <w:u w:val="single"/>
                        </w:rPr>
                      </w:pPr>
                      <w:r>
                        <w:rPr>
                          <w:szCs w:val="24"/>
                          <w:u w:val="single"/>
                        </w:rPr>
                        <w:tab/>
                      </w:r>
                      <w:r>
                        <w:rPr>
                          <w:szCs w:val="24"/>
                          <w:u w:val="single"/>
                        </w:rPr>
                        <w:tab/>
                      </w:r>
                      <w:r>
                        <w:rPr>
                          <w:szCs w:val="24"/>
                          <w:u w:val="single"/>
                        </w:rPr>
                        <w:tab/>
                      </w:r>
                      <w:r>
                        <w:rPr>
                          <w:szCs w:val="24"/>
                          <w:u w:val="single"/>
                        </w:rPr>
                        <w:tab/>
                        <w:t xml:space="preserve">Введение  </w:t>
                      </w:r>
                      <w:r>
                        <w:rPr>
                          <w:szCs w:val="24"/>
                          <w:u w:val="single"/>
                        </w:rPr>
                        <w:tab/>
                      </w:r>
                      <w:r>
                        <w:rPr>
                          <w:szCs w:val="24"/>
                          <w:u w:val="single"/>
                        </w:rPr>
                        <w:tab/>
                      </w:r>
                      <w:r>
                        <w:rPr>
                          <w:szCs w:val="24"/>
                          <w:u w:val="single"/>
                        </w:rPr>
                        <w:tab/>
                      </w:r>
                      <w:r>
                        <w:rPr>
                          <w:szCs w:val="24"/>
                          <w:u w:val="single"/>
                        </w:rPr>
                        <w:tab/>
                      </w:r>
                    </w:p>
                    <w:p w14:paraId="44C85FD2" w14:textId="77777777" w:rsidR="00AE2133" w:rsidRDefault="00AE2133">
                      <w:pPr>
                        <w:rPr>
                          <w:b/>
                          <w:bCs/>
                          <w:sz w:val="2"/>
                          <w:u w:val="single"/>
                        </w:rPr>
                      </w:pPr>
                    </w:p>
                  </w:txbxContent>
                </v:textbox>
                <w10:anchorlock/>
              </v:shape>
            </w:pict>
          </mc:Fallback>
        </mc:AlternateContent>
      </w:r>
      <w:r>
        <w:rPr>
          <w:sz w:val="20"/>
          <w:szCs w:val="16"/>
        </w:rPr>
        <w:t>тив внимание на смещение центров чеканки монет VIII, IX, Х вв., С.А. Янина и А.В. Фомин установили по материалам Новгородских (Янина С.А., 1956. – С. 188; 1962. – с. 293–328) и Гнездовских кладов Х в., что важнейшими областями вывоза монет были города Маверанахра, а также провинции  Хутталя и Балха; Фарс и юг Прикаспия (Фомин А.В., 1996, с.189). Это вопрос интересует также и современных западных нумизматов и археологов. Вводя научный оборот, новые нумизматические артефакты и обобщая старые, они уверенно определяет центры чеканки куфических дирхемов. Примером чему может служить работа М. Мюллер-Вилле /M. Muller-Wille/, в которой обобщены монетные находки, происходящие из раскопок и кладовых комплексов в Северо-Западной Германии в землях, граничащих с Данией, датируемые второй половиной VIII – началом Х в. (Мюллер-Вилле М., 1999. – С. 419; 420, рис. 2; 421–422). Изучение эмиссионного распределения монет в рамках периодизации Фасмера – Янина может представлять значительный научный интерес в связи с выявлением процесса перемещения монетной массы от источников эмиссий до конечного потребителя. В конечном итоге, установление мощности, хронологии чеканки тех или иных монетных дворов и их роль в насыщении денежных рынков Европы восточным серебром.</w:t>
      </w:r>
    </w:p>
    <w:p w14:paraId="38D64329" w14:textId="77777777" w:rsidR="00CD484C" w:rsidRDefault="00CD484C">
      <w:pPr>
        <w:ind w:firstLine="397"/>
        <w:jc w:val="both"/>
        <w:rPr>
          <w:spacing w:val="-2"/>
          <w:sz w:val="20"/>
          <w:szCs w:val="16"/>
        </w:rPr>
      </w:pPr>
      <w:r>
        <w:rPr>
          <w:spacing w:val="-2"/>
          <w:sz w:val="20"/>
          <w:szCs w:val="16"/>
        </w:rPr>
        <w:t xml:space="preserve">В нижеследующих очерках рассматриваются некоторые аспекты распространения восточной монеты на территории Восточной Европы с привлечением аналогий кладов, выпавших как в странах-экспортерах, так и наиболее близко расположенных к источникам эмиссий денежных рынках. </w:t>
      </w:r>
    </w:p>
    <w:p w14:paraId="0EDB5211" w14:textId="77777777" w:rsidR="00CD484C" w:rsidRDefault="00CD484C">
      <w:pPr>
        <w:ind w:firstLine="397"/>
        <w:jc w:val="both"/>
        <w:rPr>
          <w:spacing w:val="-4"/>
          <w:sz w:val="20"/>
          <w:szCs w:val="16"/>
        </w:rPr>
      </w:pPr>
      <w:r>
        <w:rPr>
          <w:spacing w:val="-4"/>
          <w:sz w:val="20"/>
          <w:szCs w:val="16"/>
        </w:rPr>
        <w:t>Автор, пользуясь, случаем, благодарит В.Л. Янина за ценные рекомендации, И.Г. Добровольского, А.Н. Кирпичникова, Т.Н. Джаксон, Д.В. Микульского за консультации, а также благодарит Р.М. Мунчаева, Н.А. Макарова за организационную помощь.</w:t>
      </w:r>
    </w:p>
    <w:p w14:paraId="0EE8054F" w14:textId="77777777" w:rsidR="00CD484C" w:rsidRDefault="00CD484C">
      <w:pPr>
        <w:ind w:firstLine="397"/>
        <w:jc w:val="both"/>
        <w:rPr>
          <w:sz w:val="20"/>
          <w:szCs w:val="16"/>
        </w:rPr>
      </w:pPr>
      <w:r>
        <w:rPr>
          <w:sz w:val="20"/>
          <w:szCs w:val="16"/>
        </w:rPr>
        <w:t>Буду признателен всем, кто сделает замечания, направленные на улучшение данного издания.</w:t>
      </w:r>
    </w:p>
    <w:p w14:paraId="762064D6" w14:textId="77777777" w:rsidR="00CD484C" w:rsidRDefault="00CD484C">
      <w:pPr>
        <w:ind w:firstLine="397"/>
        <w:jc w:val="both"/>
        <w:rPr>
          <w:sz w:val="20"/>
          <w:szCs w:val="16"/>
        </w:rPr>
      </w:pPr>
    </w:p>
    <w:p w14:paraId="53C96E56" w14:textId="77777777" w:rsidR="00CD484C" w:rsidRDefault="00CD484C">
      <w:pPr>
        <w:ind w:firstLine="397"/>
        <w:jc w:val="both"/>
        <w:rPr>
          <w:sz w:val="20"/>
          <w:szCs w:val="16"/>
        </w:rPr>
      </w:pPr>
    </w:p>
    <w:p w14:paraId="719AB82C" w14:textId="77777777" w:rsidR="00CD484C" w:rsidRDefault="00CD484C">
      <w:pPr>
        <w:ind w:firstLine="397"/>
        <w:jc w:val="both"/>
        <w:rPr>
          <w:sz w:val="20"/>
          <w:szCs w:val="16"/>
        </w:rPr>
      </w:pPr>
    </w:p>
    <w:p w14:paraId="57987581" w14:textId="77777777" w:rsidR="00CD484C" w:rsidRDefault="00CD484C">
      <w:pPr>
        <w:ind w:firstLine="397"/>
        <w:jc w:val="both"/>
        <w:rPr>
          <w:sz w:val="20"/>
          <w:szCs w:val="16"/>
        </w:rPr>
      </w:pPr>
    </w:p>
    <w:p w14:paraId="0EE0CA15" w14:textId="77777777" w:rsidR="00CD484C" w:rsidRDefault="00CD484C">
      <w:pPr>
        <w:ind w:firstLine="397"/>
        <w:jc w:val="both"/>
        <w:rPr>
          <w:sz w:val="20"/>
          <w:szCs w:val="16"/>
        </w:rPr>
      </w:pPr>
    </w:p>
    <w:p w14:paraId="60B5308A" w14:textId="77777777" w:rsidR="00CD484C" w:rsidRDefault="00CD484C">
      <w:pPr>
        <w:ind w:firstLine="397"/>
        <w:jc w:val="both"/>
        <w:rPr>
          <w:sz w:val="20"/>
          <w:szCs w:val="16"/>
        </w:rPr>
      </w:pPr>
    </w:p>
    <w:p w14:paraId="2213FEB8" w14:textId="77777777" w:rsidR="00CD484C" w:rsidRDefault="00CD484C">
      <w:pPr>
        <w:ind w:firstLine="397"/>
        <w:jc w:val="both"/>
        <w:rPr>
          <w:sz w:val="20"/>
          <w:szCs w:val="16"/>
        </w:rPr>
      </w:pPr>
    </w:p>
    <w:p w14:paraId="741F917D" w14:textId="77777777" w:rsidR="00CD484C" w:rsidRDefault="00CD484C">
      <w:pPr>
        <w:ind w:firstLine="397"/>
        <w:jc w:val="both"/>
        <w:rPr>
          <w:sz w:val="20"/>
          <w:szCs w:val="16"/>
        </w:rPr>
      </w:pPr>
    </w:p>
    <w:p w14:paraId="7A1D4E89" w14:textId="77777777" w:rsidR="00CD484C" w:rsidRDefault="00CD484C">
      <w:pPr>
        <w:ind w:firstLine="397"/>
        <w:jc w:val="both"/>
        <w:rPr>
          <w:sz w:val="20"/>
          <w:szCs w:val="16"/>
        </w:rPr>
      </w:pPr>
    </w:p>
    <w:p w14:paraId="515ACDC9" w14:textId="77777777" w:rsidR="00CD484C" w:rsidRDefault="00CD484C">
      <w:pPr>
        <w:ind w:firstLine="397"/>
        <w:jc w:val="both"/>
        <w:rPr>
          <w:sz w:val="20"/>
          <w:szCs w:val="16"/>
        </w:rPr>
      </w:pPr>
    </w:p>
    <w:p w14:paraId="23958724" w14:textId="77777777" w:rsidR="00CD484C" w:rsidRDefault="00CD484C">
      <w:pPr>
        <w:ind w:firstLine="397"/>
        <w:jc w:val="both"/>
        <w:rPr>
          <w:sz w:val="20"/>
          <w:szCs w:val="16"/>
        </w:rPr>
      </w:pPr>
    </w:p>
    <w:p w14:paraId="3A6E31DE" w14:textId="77777777" w:rsidR="00CD484C" w:rsidRDefault="00CD484C">
      <w:pPr>
        <w:jc w:val="both"/>
        <w:rPr>
          <w:sz w:val="20"/>
          <w:szCs w:val="16"/>
        </w:rPr>
      </w:pPr>
    </w:p>
    <w:p w14:paraId="307BD78F" w14:textId="77777777" w:rsidR="00CD484C" w:rsidRDefault="00CD484C">
      <w:pPr>
        <w:jc w:val="both"/>
        <w:rPr>
          <w:sz w:val="20"/>
          <w:szCs w:val="16"/>
        </w:rPr>
      </w:pPr>
    </w:p>
    <w:p w14:paraId="1A094E7C" w14:textId="77777777" w:rsidR="00CD484C" w:rsidRDefault="00CD484C">
      <w:pPr>
        <w:jc w:val="both"/>
        <w:rPr>
          <w:sz w:val="20"/>
          <w:szCs w:val="16"/>
        </w:rPr>
      </w:pPr>
    </w:p>
    <w:p w14:paraId="7214B419" w14:textId="77777777" w:rsidR="00CD484C" w:rsidRDefault="00CD484C">
      <w:pPr>
        <w:pStyle w:val="a3"/>
        <w:spacing w:before="1680"/>
      </w:pPr>
      <w:r>
        <w:t>ОЧЕРК 1.</w:t>
      </w:r>
    </w:p>
    <w:p w14:paraId="1F4E271C" w14:textId="77777777" w:rsidR="00CD484C" w:rsidRDefault="00CD484C">
      <w:pPr>
        <w:pStyle w:val="8"/>
        <w:rPr>
          <w:bCs/>
        </w:rPr>
      </w:pPr>
      <w:r>
        <w:rPr>
          <w:bCs/>
        </w:rPr>
        <w:t>ПЕРВЫЙ ТРАНСКОНТИНЕНТАЛЬНЫЙ ПУТЬ</w:t>
      </w:r>
    </w:p>
    <w:p w14:paraId="143F12C0" w14:textId="77777777" w:rsidR="00CD484C" w:rsidRDefault="00CD484C">
      <w:pPr>
        <w:pStyle w:val="2"/>
        <w:spacing w:after="120"/>
        <w:ind w:firstLine="0"/>
      </w:pPr>
      <w:r>
        <w:t>КУФИЧЕСКИХ МОНЕТ В ЕВРОПУ</w:t>
      </w:r>
    </w:p>
    <w:p w14:paraId="52BEFE5B" w14:textId="77777777" w:rsidR="00CD484C" w:rsidRDefault="00CD484C">
      <w:pPr>
        <w:ind w:firstLine="397"/>
        <w:jc w:val="both"/>
        <w:rPr>
          <w:sz w:val="20"/>
          <w:szCs w:val="16"/>
        </w:rPr>
      </w:pPr>
      <w:r>
        <w:rPr>
          <w:sz w:val="20"/>
          <w:szCs w:val="16"/>
        </w:rPr>
        <w:t>Появление высоко ранжированных престижных ценностей c Востока вызвало у населения Восточной Европы повышенный интерес к художественному металлу и сделало эффективной международную торговлю с Севером. «Мы не знаем в точности, когда, – писал В.В. Бартольд, – к издавна существовавшему торговому пути из Средней Азии на Запад к Черному морю, присоединился новый торговый  путь на Северо-запад и оттуда к Балтийскому морю» (Бартольд В.В., 1963. Т. 2. Ч. 1. – С. 816).</w:t>
      </w:r>
    </w:p>
    <w:p w14:paraId="0430C227" w14:textId="77777777" w:rsidR="00CD484C" w:rsidRDefault="00CD484C">
      <w:pPr>
        <w:ind w:firstLine="397"/>
        <w:jc w:val="both"/>
        <w:rPr>
          <w:spacing w:val="-4"/>
          <w:sz w:val="20"/>
          <w:szCs w:val="16"/>
        </w:rPr>
      </w:pPr>
      <w:r>
        <w:rPr>
          <w:spacing w:val="-4"/>
          <w:sz w:val="20"/>
          <w:szCs w:val="16"/>
        </w:rPr>
        <w:t>Еще в античное время основной транспортной магистралью для местного населения была Геродотова Ра, притоки которой, в частности, Ока и Кама, интенсивно использовались их насельниками (Дубов И.В., 1989. – С. 30, 51, 220; Кирпичников А.Н., 2002. – С. 37 спр.). Начало функционирования волжского пути и последующая его эксплуатация хорошо отражены в историографии. В.В. Бартольд справедливо полагал, что поворот торговли на Северо-запад произошел в позднесасанидское время (Ставиский Б.Я., 1960. – С. 109). Старт волжского пути мог в принципе состояться и в Закавказье, однако это не исключает того, что торевтика и сасанидские драхмы поступали в Вятско-Камский ареал выпадения восточного, византийского серебра, денежных слитков (ВКА)</w:t>
      </w:r>
      <w:r>
        <w:rPr>
          <w:rStyle w:val="a6"/>
          <w:spacing w:val="-4"/>
          <w:sz w:val="20"/>
          <w:szCs w:val="16"/>
        </w:rPr>
        <w:footnoteReference w:customMarkFollows="1" w:id="1"/>
        <w:t>1</w:t>
      </w:r>
      <w:r>
        <w:rPr>
          <w:spacing w:val="-4"/>
          <w:sz w:val="20"/>
          <w:szCs w:val="16"/>
        </w:rPr>
        <w:t xml:space="preserve"> сухопутным путем – в это время – путешественники, передвигаясь от колодца к колодцу, а реки в песках часто меняли русло, не  оставляли видимых археологических и нумизматических артефактов, поэтому здесь монеты и торевтика топографически не фиксируются, что в частности, относится и к бухархудатским подражаниям Варахрана V. В остром соперничестве с иранцами согдийцы устанавливали прямые торгово-экономические связи с племенами Прикамья (Распопова В.И., 1980. – С. 109). Предполагая, что сухопутный путь начал функционировать одновременно с волжским, отметим более эффективное на наш взгляд использование первого, подтверждаемое не только топографией вещевого серебра, но всем ходом исторического процесса в Иране и Средней Азии в  VII–VIII вв.</w:t>
      </w:r>
    </w:p>
    <w:p w14:paraId="5D950485" w14:textId="62D4C0DF" w:rsidR="00CD484C" w:rsidRDefault="00395416">
      <w:pPr>
        <w:ind w:firstLine="397"/>
        <w:jc w:val="both"/>
        <w:rPr>
          <w:spacing w:val="-4"/>
          <w:sz w:val="20"/>
          <w:szCs w:val="16"/>
        </w:rPr>
      </w:pPr>
      <w:r>
        <w:rPr>
          <w:noProof/>
          <w:spacing w:val="-4"/>
          <w:sz w:val="20"/>
          <w:szCs w:val="16"/>
        </w:rPr>
        <w:lastRenderedPageBreak/>
        <mc:AlternateContent>
          <mc:Choice Requires="wps">
            <w:drawing>
              <wp:anchor distT="0" distB="0" distL="114300" distR="114300" simplePos="0" relativeHeight="251621888" behindDoc="0" locked="1" layoutInCell="1" allowOverlap="1" wp14:anchorId="390479BD" wp14:editId="41D6A716">
                <wp:simplePos x="0" y="0"/>
                <wp:positionH relativeFrom="column">
                  <wp:posOffset>0</wp:posOffset>
                </wp:positionH>
                <wp:positionV relativeFrom="paragraph">
                  <wp:posOffset>-252730</wp:posOffset>
                </wp:positionV>
                <wp:extent cx="4095750" cy="186690"/>
                <wp:effectExtent l="0" t="1905" r="3810" b="1905"/>
                <wp:wrapNone/>
                <wp:docPr id="2059109600"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661C2"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13212F63"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479BD" id="Text Box 174" o:spid="_x0000_s1028" type="#_x0000_t202" style="position:absolute;left:0;text-align:left;margin-left:0;margin-top:-19.9pt;width:322.5pt;height:14.7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eobgK7wEAAMEDAAAOAAAAAAAAAAAAAAAAAC4CAABkcnMvZTJv&#10;RG9jLnhtbFBLAQItABQABgAIAAAAIQCnTgMH3gAAAAgBAAAPAAAAAAAAAAAAAAAAAEkEAABkcnMv&#10;ZG93bnJldi54bWxQSwUGAAAAAAQABADzAAAAVAUAAAAA&#10;" stroked="f">
                <v:textbox inset="0,0,0,0">
                  <w:txbxContent>
                    <w:p w14:paraId="5C4661C2"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13212F63" w14:textId="77777777" w:rsidR="00AE2133" w:rsidRDefault="00AE2133">
                      <w:pPr>
                        <w:rPr>
                          <w:b/>
                          <w:bCs/>
                          <w:sz w:val="2"/>
                          <w:u w:val="single"/>
                        </w:rPr>
                      </w:pPr>
                    </w:p>
                  </w:txbxContent>
                </v:textbox>
                <w10:anchorlock/>
              </v:shape>
            </w:pict>
          </mc:Fallback>
        </mc:AlternateContent>
      </w:r>
      <w:r w:rsidR="00CD484C">
        <w:rPr>
          <w:spacing w:val="-4"/>
          <w:sz w:val="20"/>
          <w:szCs w:val="16"/>
        </w:rPr>
        <w:t>Преследуя последнего сасанидского шаханшаха Йездигерда Ш, арабы, оставляя в тылу прикаспийские провинции, в 651 г. взяли Мерв – столицу крайней Северо-Восточной провинции Ирана</w:t>
      </w:r>
      <w:r w:rsidR="00CD484C">
        <w:rPr>
          <w:rStyle w:val="a6"/>
          <w:spacing w:val="-4"/>
          <w:sz w:val="20"/>
          <w:szCs w:val="16"/>
        </w:rPr>
        <w:footnoteReference w:customMarkFollows="1" w:id="2"/>
        <w:t>2</w:t>
      </w:r>
      <w:r w:rsidR="00CD484C">
        <w:rPr>
          <w:spacing w:val="-4"/>
          <w:sz w:val="20"/>
          <w:szCs w:val="16"/>
        </w:rPr>
        <w:t>. Это только усилило отток эмигрантов. Огромное число родственников погибшего шаханшаха, придворной челяди, с толпами слуг и баснословными материальными и духовными ценностями, оставили хорошо верифицируемые следы в Испании, Франции, Чехии, Византии, Китае и Японии (Колесников А.И., 1982. – С. 148; Лелеков Л.А., 1976. – С. 136). Вполне возможно, что часть эмигрантской волны по кратчайшему пути докатилась до средней Камы (Хан А.Н., 1998. – С. 117), куда не ранее второй половины VII в. приток восточного художественного металла резко усилился (Лещенко В.Ю., 1976. – С. 175). /Рис. 1, б/.</w:t>
      </w:r>
    </w:p>
    <w:p w14:paraId="38DB3E8E" w14:textId="77777777" w:rsidR="00CD484C" w:rsidRDefault="00CD484C">
      <w:pPr>
        <w:ind w:firstLine="397"/>
        <w:jc w:val="both"/>
        <w:rPr>
          <w:spacing w:val="-4"/>
          <w:sz w:val="12"/>
          <w:szCs w:val="16"/>
        </w:rPr>
      </w:pPr>
    </w:p>
    <w:p w14:paraId="4DFB9810" w14:textId="77777777" w:rsidR="00CD484C" w:rsidRDefault="00CD484C">
      <w:pPr>
        <w:jc w:val="center"/>
        <w:rPr>
          <w:sz w:val="20"/>
          <w:szCs w:val="16"/>
        </w:rPr>
      </w:pPr>
      <w:r>
        <w:rPr>
          <w:sz w:val="20"/>
          <w:szCs w:val="16"/>
        </w:rPr>
        <w:object w:dxaOrig="9075" w:dyaOrig="8820" w14:anchorId="19B62F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238.15pt" o:ole="">
            <v:imagedata r:id="rId13" o:title=""/>
          </v:shape>
          <o:OLEObject Type="Embed" ProgID="PBrush" ShapeID="_x0000_i1025" DrawAspect="Content" ObjectID="_1816884165" r:id="rId14"/>
        </w:object>
      </w:r>
    </w:p>
    <w:p w14:paraId="48058CC8" w14:textId="77777777" w:rsidR="00CD484C" w:rsidRDefault="00CD484C">
      <w:pPr>
        <w:jc w:val="center"/>
        <w:rPr>
          <w:i/>
          <w:iCs/>
          <w:sz w:val="10"/>
          <w:szCs w:val="16"/>
        </w:rPr>
      </w:pPr>
    </w:p>
    <w:p w14:paraId="17F6AEDF" w14:textId="77777777" w:rsidR="00CD484C" w:rsidRDefault="00CD484C">
      <w:pPr>
        <w:jc w:val="center"/>
        <w:rPr>
          <w:i/>
          <w:iCs/>
          <w:sz w:val="18"/>
          <w:szCs w:val="16"/>
        </w:rPr>
      </w:pPr>
      <w:r>
        <w:rPr>
          <w:b/>
          <w:bCs/>
          <w:i/>
          <w:iCs/>
          <w:sz w:val="18"/>
          <w:szCs w:val="16"/>
        </w:rPr>
        <w:t xml:space="preserve">Рис. 1. </w:t>
      </w:r>
      <w:r>
        <w:rPr>
          <w:i/>
          <w:iCs/>
          <w:sz w:val="18"/>
          <w:szCs w:val="16"/>
        </w:rPr>
        <w:t xml:space="preserve">Карта-схема пути первого монетного потока в Европу </w:t>
      </w:r>
      <w:r>
        <w:rPr>
          <w:i/>
          <w:iCs/>
          <w:sz w:val="18"/>
          <w:szCs w:val="16"/>
        </w:rPr>
        <w:br/>
        <w:t>(по материалам Староладожского клада 1892 г.)</w:t>
      </w:r>
    </w:p>
    <w:p w14:paraId="6D9F6F29" w14:textId="77777777" w:rsidR="00CD484C" w:rsidRDefault="00CD484C">
      <w:pPr>
        <w:jc w:val="center"/>
        <w:rPr>
          <w:i/>
          <w:sz w:val="16"/>
          <w:szCs w:val="16"/>
        </w:rPr>
      </w:pPr>
      <w:r>
        <w:rPr>
          <w:b/>
          <w:i/>
          <w:sz w:val="16"/>
          <w:szCs w:val="16"/>
        </w:rPr>
        <w:t>а</w:t>
      </w:r>
      <w:r>
        <w:rPr>
          <w:i/>
          <w:sz w:val="16"/>
          <w:szCs w:val="16"/>
        </w:rPr>
        <w:t xml:space="preserve"> – ареалы выпадения торевтики VI–XIII вв.; </w:t>
      </w:r>
      <w:r>
        <w:rPr>
          <w:b/>
          <w:i/>
          <w:sz w:val="16"/>
          <w:szCs w:val="16"/>
        </w:rPr>
        <w:t>б</w:t>
      </w:r>
      <w:r>
        <w:rPr>
          <w:i/>
          <w:sz w:val="16"/>
          <w:szCs w:val="16"/>
        </w:rPr>
        <w:t xml:space="preserve"> – направление поступления восточного </w:t>
      </w:r>
      <w:r>
        <w:rPr>
          <w:i/>
          <w:sz w:val="16"/>
          <w:szCs w:val="16"/>
        </w:rPr>
        <w:br/>
        <w:t xml:space="preserve">серебра в бассейн Камы в VII в.; </w:t>
      </w:r>
      <w:r>
        <w:rPr>
          <w:b/>
          <w:i/>
          <w:sz w:val="16"/>
          <w:szCs w:val="16"/>
        </w:rPr>
        <w:t>в</w:t>
      </w:r>
      <w:r>
        <w:rPr>
          <w:i/>
          <w:sz w:val="16"/>
          <w:szCs w:val="16"/>
        </w:rPr>
        <w:t xml:space="preserve"> – клады с куфическими монетами на территории </w:t>
      </w:r>
      <w:r>
        <w:rPr>
          <w:i/>
          <w:sz w:val="16"/>
          <w:szCs w:val="16"/>
        </w:rPr>
        <w:br/>
        <w:t xml:space="preserve">Восточной Европы: 1 – Старая Ладога 1892 г.; 2 – Чумбарей  1879 (?) г.; </w:t>
      </w:r>
      <w:r>
        <w:rPr>
          <w:i/>
          <w:sz w:val="16"/>
          <w:szCs w:val="16"/>
        </w:rPr>
        <w:br/>
      </w:r>
      <w:r>
        <w:rPr>
          <w:b/>
          <w:i/>
          <w:sz w:val="16"/>
          <w:szCs w:val="16"/>
        </w:rPr>
        <w:t>г</w:t>
      </w:r>
      <w:r>
        <w:rPr>
          <w:i/>
          <w:sz w:val="16"/>
          <w:szCs w:val="16"/>
        </w:rPr>
        <w:t xml:space="preserve"> – путь монет Староладожского клада; </w:t>
      </w:r>
      <w:r>
        <w:rPr>
          <w:b/>
          <w:i/>
          <w:sz w:val="16"/>
          <w:szCs w:val="16"/>
        </w:rPr>
        <w:t xml:space="preserve">д – </w:t>
      </w:r>
      <w:r>
        <w:rPr>
          <w:i/>
          <w:sz w:val="16"/>
          <w:szCs w:val="16"/>
        </w:rPr>
        <w:t xml:space="preserve">центры чеканки монет </w:t>
      </w:r>
      <w:r>
        <w:rPr>
          <w:i/>
          <w:sz w:val="16"/>
          <w:szCs w:val="16"/>
        </w:rPr>
        <w:br/>
        <w:t xml:space="preserve">Староладожского клада; </w:t>
      </w:r>
      <w:r>
        <w:rPr>
          <w:b/>
          <w:i/>
          <w:sz w:val="16"/>
          <w:szCs w:val="16"/>
        </w:rPr>
        <w:t>е</w:t>
      </w:r>
      <w:r>
        <w:rPr>
          <w:i/>
          <w:sz w:val="16"/>
          <w:szCs w:val="16"/>
        </w:rPr>
        <w:t xml:space="preserve"> – города существовавшие в IX в.</w:t>
      </w:r>
    </w:p>
    <w:p w14:paraId="1878630B" w14:textId="77777777" w:rsidR="00CD484C" w:rsidRDefault="00CD484C">
      <w:pPr>
        <w:ind w:firstLine="397"/>
        <w:jc w:val="both"/>
        <w:rPr>
          <w:sz w:val="20"/>
          <w:szCs w:val="16"/>
        </w:rPr>
      </w:pPr>
      <w:r>
        <w:rPr>
          <w:sz w:val="20"/>
          <w:szCs w:val="16"/>
        </w:rPr>
        <w:lastRenderedPageBreak/>
        <w:t>Изучив распространение восточного серебра в Прикамье, В.Л. Янин заключил: «Прикамье и Западнре Приуралье, – было первым уголком Восточной Европы, открытым восточной торговлей еще в VI в.» (Янин В.Л., 1956. – С. 85), нашедшее отражение в рабо</w:t>
      </w:r>
      <w:r>
        <w:rPr>
          <w:sz w:val="20"/>
          <w:szCs w:val="16"/>
        </w:rPr>
        <w:softHyphen/>
        <w:t>те М.Е. Массона: «Постоянное нарастание на протяжении VI в. темпов торговых связей Ирана со странами Восточной Европы, что находит яркое отражение в составе кладов в России и Прибалтике, не проходит бесследно для Средней Азии» (Массон М.Е., 1971. – С. 235).</w:t>
      </w:r>
    </w:p>
    <w:p w14:paraId="5D7C6D3E" w14:textId="77777777" w:rsidR="00CD484C" w:rsidRDefault="00CD484C">
      <w:pPr>
        <w:ind w:firstLine="397"/>
        <w:jc w:val="both"/>
        <w:rPr>
          <w:sz w:val="20"/>
          <w:szCs w:val="16"/>
        </w:rPr>
      </w:pPr>
      <w:r>
        <w:rPr>
          <w:sz w:val="20"/>
          <w:szCs w:val="16"/>
        </w:rPr>
        <w:t>В настоящее время утвердилось мнение о том, что открытие северных  рынков восточной торговлей произошло в VI в. (Мухамадиев А.Г., 1990. – С. 36; Сокровища Приобья, 1996. – С. 6), а конечным пунктом поступления серебра стал Вятско-Камский ареал.</w:t>
      </w:r>
    </w:p>
    <w:p w14:paraId="0977D1F9" w14:textId="3816EEA0" w:rsidR="00CD484C" w:rsidRDefault="00CD484C">
      <w:pPr>
        <w:pStyle w:val="a5"/>
        <w:ind w:firstLine="397"/>
        <w:jc w:val="both"/>
        <w:rPr>
          <w:spacing w:val="4"/>
          <w:szCs w:val="16"/>
        </w:rPr>
      </w:pPr>
      <w:r>
        <w:rPr>
          <w:spacing w:val="4"/>
          <w:szCs w:val="16"/>
        </w:rPr>
        <w:t>Арабский халифат не был заинтересован и разрушении прежних торгово-экономических связей. Огромное число драгоценной посуды и монет было выброшено на рынок (Даркевич В.П., 1976. – C. 148; Фёдорова Н.В., 2002. – С. 94–95). Оно доставалось местным перекупщикам – тюркам, согдийцам, иранцам, хорезмийцам, следовавшие за войсками. Часть эмигрантской волны по кратчайшему пути докатилась  до средней Камы (Хан Н.А., 1998. – С. 117), куда не ранее второй половины VII в. приток восточного художественного металла резко усилился (Лещенко В.Ю., 1976. – С. 175). Поэтому, можно высказать предположение о мощном разовом поступлении торевтики в ВКА. Элитный металл непосредственно и через посредников поступал в ВКА, а оттуда в Приобье (Фёдорова Н.В., 1994. – С. 64–66) и на земли восточных славян</w:t>
      </w:r>
      <w:r>
        <w:rPr>
          <w:rStyle w:val="a6"/>
          <w:spacing w:val="4"/>
          <w:szCs w:val="16"/>
        </w:rPr>
        <w:footnoteReference w:customMarkFollows="1" w:id="3"/>
        <w:t>3</w:t>
      </w:r>
      <w:r>
        <w:rPr>
          <w:spacing w:val="4"/>
          <w:szCs w:val="16"/>
        </w:rPr>
        <w:t xml:space="preserve">. Вместе с тем отсутствие в достаточном количестве серебра на денежном рынке Средней Азии и Ирана в VII–VIII вв., косвенно подтверждаемое документами горы Муг, отмеченное А.М. Беленицким, Б.И. Маршаком, В.И. Распоповой, а также О.Г. Большаковым. Судя по данным палеографии, сосуды сначала обращалась на внутреннем рынке Средней Азии. На блюде их шахаровского клада Пермской области с изображением Шапура II (309–379) врезаны 2 надписи: среднеперсидская и согдийская (Лившиц В.А., Луконин В.Г., 1964. – С. 164, № 10; 172, № 21); 4 сосуда из 7, найденных в районе Бартыма на средней Каме были хорезмийскими с врезанными датами /контрольного взвешивания – ?/ хорезмийской эры (Лившиц В.А., Луконин В.Г., 1964. – С. 150), что позволяет отнести их тезаврацию к середине – второй половине VIII в. Доставлены они, как и хорезмийские доисламские монеты (Толстов С.П., 1948. – С.173, 175, 183), разумеется, сухопутным </w:t>
      </w:r>
      <w:r w:rsidR="00395416">
        <w:rPr>
          <w:noProof/>
          <w:spacing w:val="4"/>
          <w:szCs w:val="16"/>
        </w:rPr>
        <mc:AlternateContent>
          <mc:Choice Requires="wps">
            <w:drawing>
              <wp:anchor distT="0" distB="0" distL="114300" distR="114300" simplePos="0" relativeHeight="251622912" behindDoc="0" locked="1" layoutInCell="1" allowOverlap="1" wp14:anchorId="7BBF07F2" wp14:editId="4C88D317">
                <wp:simplePos x="0" y="0"/>
                <wp:positionH relativeFrom="column">
                  <wp:posOffset>0</wp:posOffset>
                </wp:positionH>
                <wp:positionV relativeFrom="paragraph">
                  <wp:posOffset>-252730</wp:posOffset>
                </wp:positionV>
                <wp:extent cx="4095750" cy="186690"/>
                <wp:effectExtent l="0" t="1905" r="3810" b="1905"/>
                <wp:wrapNone/>
                <wp:docPr id="33075700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7F33F"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724B9E76"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F07F2" id="Text Box 175" o:spid="_x0000_s1029" type="#_x0000_t202" style="position:absolute;left:0;text-align:left;margin-left:0;margin-top:-19.9pt;width:322.5pt;height:14.7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tUxJf7wEAAMEDAAAOAAAAAAAAAAAAAAAAAC4CAABkcnMvZTJv&#10;RG9jLnhtbFBLAQItABQABgAIAAAAIQCnTgMH3gAAAAgBAAAPAAAAAAAAAAAAAAAAAEkEAABkcnMv&#10;ZG93bnJldi54bWxQSwUGAAAAAAQABADzAAAAVAUAAAAA&#10;" stroked="f">
                <v:textbox inset="0,0,0,0">
                  <w:txbxContent>
                    <w:p w14:paraId="5B47F33F"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724B9E76" w14:textId="77777777" w:rsidR="00AE2133" w:rsidRDefault="00AE2133">
                      <w:pPr>
                        <w:rPr>
                          <w:b/>
                          <w:bCs/>
                          <w:sz w:val="2"/>
                          <w:u w:val="single"/>
                        </w:rPr>
                      </w:pPr>
                    </w:p>
                  </w:txbxContent>
                </v:textbox>
                <w10:anchorlock/>
              </v:shape>
            </w:pict>
          </mc:Fallback>
        </mc:AlternateContent>
      </w:r>
      <w:r>
        <w:rPr>
          <w:spacing w:val="4"/>
          <w:szCs w:val="16"/>
        </w:rPr>
        <w:t xml:space="preserve">путем. Чилекский клад, </w:t>
      </w:r>
      <w:r>
        <w:rPr>
          <w:spacing w:val="4"/>
          <w:szCs w:val="16"/>
        </w:rPr>
        <w:lastRenderedPageBreak/>
        <w:t xml:space="preserve">состоящий из разновременных и разнохарактерных вещей, обнаруженный к тому на усадьбе рядового горожанина и даже не в столице области – Самарканде (Маршак Б.И., Крикис Я.К., 1969. – С. 59, 77), также подтверждает вышеизложенное. К сказанному добавим, что эмиграция сасанидских правителей к своим северным ближайшим соседям известна науке. В VI в. брат Хосрова I Ануширвана бежал к хазарам и славянам (Сахаров А.Н., 1980. – С. 191). </w:t>
      </w:r>
    </w:p>
    <w:p w14:paraId="54BEE6E4" w14:textId="77777777" w:rsidR="00CD484C" w:rsidRDefault="00CD484C">
      <w:pPr>
        <w:pStyle w:val="a5"/>
        <w:ind w:firstLine="397"/>
        <w:jc w:val="both"/>
        <w:rPr>
          <w:szCs w:val="16"/>
        </w:rPr>
      </w:pPr>
      <w:r>
        <w:rPr>
          <w:szCs w:val="16"/>
        </w:rPr>
        <w:t>Хазарской правящей элите были известны куфические дирхемы, попадавшие  к ней как в результате войн с арабами, так и посредством торгового пути, издавна проходящего через Дербенд (Мунчаев Р.М., 1954. – С. 3–4; Сахаров А.Н., 1980. – С. 191–194; Новосельцев А.П., 1990. – С. 202; Артамонов М.И., 2002. – С. 218–271). С.А. Плетнева (2000. – С. 202–203) выделяет находку М.Г. Магомедова в погребении VII в. в Дагестане изделия торевтики, изготовленного, по-видимому, из монет в местных хазарских ювелирных мастерских. Однако экономическая ситуация, т.е. отсутствие транзита на север, могла способствовать разве что проникновению единичных куфических монет на Северный Кавказ (Степи Евразии.., 1981. – С. 165, рис. 5). В то время как, начиная с 719–720-х гг. арабская администрация наладила чеканку медной монеты в покоренном Самарканде (Ахунбабаев Х.Г., 1986. – С. 259), а затем фельсы стали выпускаться и в других областях Согда и Хорасана. Наиболее ранний и самый южный клад серебряных куфических монет, найденный на территории Республики Узбекистан на Старом Термезе состоит из 100 экземпляров с диапазоном чеканки 96/714–15 и 128/745–46 гг., причем, все монеты данного клада отчеканены в центральных провинциях Халифата (Ртвеладзе Э.В., 1985. – С. 40). Не может вызвать удивления появление арабского серебра VIII в. на Южном Урале. В Спертамлыкском могильнике найден золотой динар 705/706 гг., а также дирхемы 770–779 гг. (Кропоткин В.В., 1968. – С. 77, прим. 23–25).</w:t>
      </w:r>
    </w:p>
    <w:p w14:paraId="3AACA3D4" w14:textId="77777777" w:rsidR="00CD484C" w:rsidRDefault="00CD484C">
      <w:pPr>
        <w:ind w:firstLine="397"/>
        <w:jc w:val="both"/>
        <w:rPr>
          <w:sz w:val="20"/>
          <w:szCs w:val="16"/>
        </w:rPr>
      </w:pPr>
      <w:r>
        <w:rPr>
          <w:sz w:val="20"/>
          <w:szCs w:val="16"/>
        </w:rPr>
        <w:t xml:space="preserve">Справедливо ставя вопрос об  издании новой топографии кладов с куфическими монетами, Р.Р. Фасмер писал: «Эти древнейшие находки /сосудов в Пермской губ – </w:t>
      </w:r>
      <w:r>
        <w:rPr>
          <w:i/>
          <w:iCs/>
          <w:sz w:val="20"/>
          <w:szCs w:val="16"/>
        </w:rPr>
        <w:t>Н.Х.</w:t>
      </w:r>
      <w:r>
        <w:rPr>
          <w:sz w:val="20"/>
          <w:szCs w:val="16"/>
        </w:rPr>
        <w:t>/ составляют совершенно обособленную группу, и их следует выделить из остальной массы находок, т.к. только они могут дать понятие о тор</w:t>
      </w:r>
      <w:r>
        <w:rPr>
          <w:sz w:val="20"/>
          <w:szCs w:val="16"/>
        </w:rPr>
        <w:softHyphen/>
        <w:t>говых путях до начала IX в.» (Фасмер Р.Р., 1933. – С. 478–479).</w:t>
      </w:r>
    </w:p>
    <w:p w14:paraId="0C15BE2E" w14:textId="77777777" w:rsidR="00CD484C" w:rsidRDefault="00CD484C">
      <w:pPr>
        <w:pStyle w:val="a5"/>
        <w:ind w:firstLine="397"/>
        <w:jc w:val="both"/>
        <w:rPr>
          <w:szCs w:val="16"/>
        </w:rPr>
      </w:pPr>
      <w:r>
        <w:rPr>
          <w:szCs w:val="16"/>
        </w:rPr>
        <w:t>Самым северным пунктом Европы, куда в течении всего VIII в. поступали куфические монеты был ВКА, представленный археологи</w:t>
      </w:r>
      <w:r>
        <w:rPr>
          <w:szCs w:val="16"/>
        </w:rPr>
        <w:softHyphen/>
        <w:t>ческим памятником Мыдлань-шай, откуда, благодаря раскопкам В.Ф. Генинга (1962, с.7-28) и разработке С.А. Яниной, наука получила не только нумизматические раритеты, слабо представленные в музей</w:t>
      </w:r>
      <w:r>
        <w:rPr>
          <w:szCs w:val="16"/>
        </w:rPr>
        <w:softHyphen/>
        <w:t xml:space="preserve">ных собраниях мира, но и гипотезу о том, что монеты  двигались «из Халифата в Среднюю Азию, а затем на Каму и Волгу» (Янина  С.А., 1962. – С. 130). Современное состояние нумизматики подтверждает эту гипотезу. Именно на средней Каме </w:t>
      </w:r>
      <w:r>
        <w:rPr>
          <w:szCs w:val="16"/>
        </w:rPr>
        <w:lastRenderedPageBreak/>
        <w:t>зафиксированы подражания омей</w:t>
      </w:r>
      <w:r>
        <w:rPr>
          <w:szCs w:val="16"/>
        </w:rPr>
        <w:softHyphen/>
        <w:t>ядским и аббасидским дирхемам (Goldina  R.D., Nikitin F.B., 1997. – Р. 114, 115. № 65, 77, 78), а также афригидская драхма конца VIII в. с именем Абдаллаха (Харитонов Д.Е., 1964. – С. 175, № 19).</w:t>
      </w:r>
    </w:p>
    <w:p w14:paraId="392DAD19" w14:textId="77777777" w:rsidR="00CD484C" w:rsidRDefault="00CD484C">
      <w:pPr>
        <w:pStyle w:val="a5"/>
        <w:tabs>
          <w:tab w:val="left" w:pos="1418"/>
        </w:tabs>
        <w:ind w:firstLine="397"/>
        <w:jc w:val="both"/>
        <w:rPr>
          <w:spacing w:val="2"/>
          <w:szCs w:val="16"/>
        </w:rPr>
      </w:pPr>
      <w:r>
        <w:rPr>
          <w:spacing w:val="2"/>
          <w:szCs w:val="16"/>
        </w:rPr>
        <w:t>Наличие в погребениях камских археологических культур VIII в. омейяд</w:t>
      </w:r>
      <w:r>
        <w:rPr>
          <w:spacing w:val="2"/>
          <w:szCs w:val="16"/>
        </w:rPr>
        <w:softHyphen/>
        <w:t>ских монет, а также стеклянных бус и  отсутствие, вместе с тем кладов, говорит об этнокуль</w:t>
      </w:r>
      <w:r>
        <w:rPr>
          <w:spacing w:val="2"/>
          <w:szCs w:val="16"/>
        </w:rPr>
        <w:softHyphen/>
        <w:t>турной традиции использования монеты. Сосуды с надписями, в том числе с указанием веса свидетельствуют о том, что их метили в стра</w:t>
      </w:r>
      <w:r>
        <w:rPr>
          <w:spacing w:val="2"/>
          <w:szCs w:val="16"/>
        </w:rPr>
        <w:softHyphen/>
        <w:t>нах-экспортерах. В литературе высказывалась мысль о том, что поступление драгоценной утвари на Урал, где местные племена, на</w:t>
      </w:r>
      <w:r>
        <w:rPr>
          <w:spacing w:val="2"/>
          <w:szCs w:val="16"/>
        </w:rPr>
        <w:softHyphen/>
        <w:t>ходящиеся на стадии разложения патриархально-родового строя, яв</w:t>
      </w:r>
      <w:r>
        <w:rPr>
          <w:spacing w:val="2"/>
          <w:szCs w:val="16"/>
        </w:rPr>
        <w:softHyphen/>
        <w:t>лялись его конечными потребителями. Оно было связано с государствен</w:t>
      </w:r>
      <w:r>
        <w:rPr>
          <w:spacing w:val="2"/>
          <w:szCs w:val="16"/>
        </w:rPr>
        <w:softHyphen/>
        <w:t>ными интересами поставщиков элитного металла – эффектных и пре</w:t>
      </w:r>
      <w:r>
        <w:rPr>
          <w:spacing w:val="2"/>
          <w:szCs w:val="16"/>
        </w:rPr>
        <w:softHyphen/>
        <w:t>стижных ценностей, использовавшихся как в материальной, так и в духовных сферах (Даркевич В.П., 1976. – С. 165–166; Лещенко В.Ю., 1976. – С. 176–188; Сокровища Приобья, 1996. – С. 6–10; Фёдорова Н.В., 1994. – С. 64–65). Появившись еще в VП в. до н.э., монеты в Китае служили первоначально «скорее меновой стоимостью; средством обращения они стали в имперский период» (Дьяконов И.М., 1994. – С. 359, прим.4). Драгоценная утварь в ВКА, использова</w:t>
      </w:r>
      <w:r>
        <w:rPr>
          <w:spacing w:val="2"/>
          <w:szCs w:val="16"/>
        </w:rPr>
        <w:softHyphen/>
        <w:t>лись при отправлении религиозных культов и в быту, которые, как и монета, во внутриареальном обороте имели меновую стоимость, вы</w:t>
      </w:r>
      <w:r>
        <w:rPr>
          <w:spacing w:val="2"/>
          <w:szCs w:val="16"/>
        </w:rPr>
        <w:softHyphen/>
        <w:t>тесняя другие средства  обмена, документируя, таким образом, разви</w:t>
      </w:r>
      <w:r>
        <w:rPr>
          <w:spacing w:val="2"/>
          <w:szCs w:val="16"/>
        </w:rPr>
        <w:softHyphen/>
        <w:t>тие своеобразных этнокультурных традиций.</w:t>
      </w:r>
    </w:p>
    <w:p w14:paraId="28566F60" w14:textId="156DA7EC" w:rsidR="00CD484C" w:rsidRDefault="00CD484C">
      <w:pPr>
        <w:ind w:firstLine="397"/>
        <w:jc w:val="both"/>
        <w:rPr>
          <w:sz w:val="20"/>
          <w:szCs w:val="16"/>
        </w:rPr>
      </w:pPr>
      <w:r>
        <w:rPr>
          <w:sz w:val="20"/>
          <w:szCs w:val="16"/>
        </w:rPr>
        <w:t>Р.Р. Фасмер обращал внимание на  отсутствии кладов арабских монет в Восточной Европе при наличие большого числа находок отдельных монет VIII в. (Фасмер Р.Р., 1933. – С. 476). Нет не только кладов, но даже отдельных находок монет этого века и в Скандинавии (Потин В.М., 1970. – С. 66)</w:t>
      </w:r>
      <w:r>
        <w:rPr>
          <w:rStyle w:val="a6"/>
          <w:sz w:val="20"/>
          <w:szCs w:val="16"/>
        </w:rPr>
        <w:footnoteReference w:customMarkFollows="1" w:id="4"/>
        <w:t>4</w:t>
      </w:r>
      <w:r>
        <w:rPr>
          <w:sz w:val="20"/>
          <w:szCs w:val="16"/>
        </w:rPr>
        <w:t>. Статистический анализ, проведенный нумизматами разных стран, прежде всего, отечествен</w:t>
      </w:r>
      <w:r>
        <w:rPr>
          <w:sz w:val="20"/>
          <w:szCs w:val="16"/>
        </w:rPr>
        <w:softHyphen/>
        <w:t>ными, свидетельствует в пользу того, что серебро в IX в. сначала обращалось в Восточной Европе – на Ладоге в первом слое, датированном по данным дендрохронологии 753 гг. была найдена куфическая монета (Кирпичников А.Н., 1988. – С. 40; 2002. – С. 51–52), а затем поступало на Готланд и Скандинавию (Янин В.Л., 1956. – С. 83; Потин В.М., 1970. – С. 65–66; Кропоткин В.В., 1978. – С. 115; Фомин А.В., 1982. – С. 19–20; Лебедев Г.С., 1985. – С. 24; Noonan Ts., 1986. Tabl. A.). В этой связи следует разделить мнение о том, что движение скандинавов по Ауствергу, начавшееся  в VШ в., было вызвано стремле</w:t>
      </w:r>
      <w:r w:rsidR="00395416">
        <w:rPr>
          <w:noProof/>
          <w:sz w:val="20"/>
          <w:szCs w:val="16"/>
        </w:rPr>
        <mc:AlternateContent>
          <mc:Choice Requires="wps">
            <w:drawing>
              <wp:anchor distT="0" distB="0" distL="114300" distR="114300" simplePos="0" relativeHeight="251623936" behindDoc="0" locked="1" layoutInCell="1" allowOverlap="1" wp14:anchorId="6AA0C945" wp14:editId="20486C40">
                <wp:simplePos x="0" y="0"/>
                <wp:positionH relativeFrom="column">
                  <wp:posOffset>0</wp:posOffset>
                </wp:positionH>
                <wp:positionV relativeFrom="paragraph">
                  <wp:posOffset>-252730</wp:posOffset>
                </wp:positionV>
                <wp:extent cx="4095750" cy="186690"/>
                <wp:effectExtent l="0" t="1905" r="3810" b="1905"/>
                <wp:wrapNone/>
                <wp:docPr id="8394050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154B9E"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0302B2C3"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0C945" id="Text Box 176" o:spid="_x0000_s1030" type="#_x0000_t202" style="position:absolute;left:0;text-align:left;margin-left:0;margin-top:-19.9pt;width:322.5pt;height:14.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Dcs7gEAAME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" stroked="f">
                <v:textbox inset="0,0,0,0">
                  <w:txbxContent>
                    <w:p w14:paraId="23154B9E"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0302B2C3" w14:textId="77777777" w:rsidR="00AE2133" w:rsidRDefault="00AE2133">
                      <w:pPr>
                        <w:rPr>
                          <w:b/>
                          <w:bCs/>
                          <w:sz w:val="2"/>
                          <w:u w:val="single"/>
                        </w:rPr>
                      </w:pPr>
                    </w:p>
                  </w:txbxContent>
                </v:textbox>
                <w10:anchorlock/>
              </v:shape>
            </w:pict>
          </mc:Fallback>
        </mc:AlternateContent>
      </w:r>
      <w:r>
        <w:rPr>
          <w:sz w:val="20"/>
          <w:szCs w:val="16"/>
        </w:rPr>
        <w:t xml:space="preserve">нием получить заветное </w:t>
      </w:r>
      <w:r>
        <w:rPr>
          <w:sz w:val="20"/>
          <w:szCs w:val="16"/>
        </w:rPr>
        <w:lastRenderedPageBreak/>
        <w:t>серебро, а также поставить торговые пути под свой контроль (Носов Е.Н., 1998. – С. 61)</w:t>
      </w:r>
      <w:r>
        <w:rPr>
          <w:rStyle w:val="a6"/>
          <w:sz w:val="20"/>
          <w:szCs w:val="16"/>
        </w:rPr>
        <w:footnoteReference w:customMarkFollows="1" w:id="5"/>
        <w:t>5</w:t>
      </w:r>
      <w:r>
        <w:rPr>
          <w:sz w:val="20"/>
          <w:szCs w:val="16"/>
        </w:rPr>
        <w:t xml:space="preserve">. </w:t>
      </w:r>
    </w:p>
    <w:p w14:paraId="16FB80CE" w14:textId="77777777" w:rsidR="00CD484C" w:rsidRDefault="00CD484C">
      <w:pPr>
        <w:ind w:firstLine="397"/>
        <w:jc w:val="both"/>
        <w:rPr>
          <w:sz w:val="20"/>
          <w:szCs w:val="16"/>
        </w:rPr>
      </w:pPr>
      <w:r>
        <w:rPr>
          <w:sz w:val="20"/>
          <w:szCs w:val="16"/>
        </w:rPr>
        <w:t>Разумеется, что на этом пути Aldeigja-Aldeigjuborg до середины IX в. изолированным островком не являлась, где 3  клада конца VIII – начала IX в. и материалы широких археологических исследований и Приладожье прямо говорят о роли Старой Ладоги как о крупнейшем торгово-посредническом и информационном центре в Восточной Прибалтике с развитой рыночной инфраструктурой, обеспечивающий евразийский транзит (Кирпичников А.Н., 1988; 1995. – С. 36–47; 2002. – С. 51–52), связанный с аналогичным центром – ВКА, расположенном на крайнем Северо-востоке Европы. Рассматривая геополитическое положение Старой Ладоги в системе торговых коммуникаций на волховском пути, Е.Н. Носов отмечал, в частности, ее роль в связях Рюрикова Городища – Старая Ладога – Балтийское море (Nosov E.N. 2001. – Р. 5, 7, 8; Franklin S., Shepard J., 1998. – Р. 10–12).</w:t>
      </w:r>
    </w:p>
    <w:p w14:paraId="49892AE3" w14:textId="77777777" w:rsidR="00CD484C" w:rsidRDefault="00CD484C">
      <w:pPr>
        <w:ind w:firstLine="397"/>
        <w:jc w:val="both"/>
        <w:rPr>
          <w:sz w:val="20"/>
          <w:szCs w:val="16"/>
        </w:rPr>
      </w:pPr>
      <w:r>
        <w:rPr>
          <w:sz w:val="20"/>
          <w:szCs w:val="16"/>
        </w:rPr>
        <w:t>Камско-балтийская торговля осуществлялась не только посредством  Волжского пути. И в середине 1 тыс. водно-волоконные пути на севере активно осваивались местным и пришлым населением. Север от Финноскандии до Урала рассекал «большой волок», который как транспортно-географическое понятие проходил южнее озера Белого, по камско-северодвинскому водоразделу (Вестердаль К., 1987. – С. 61–78, рис.10), где использовались специфические для локальных условий транспортные средства. В «Саге Красивая кожа» сообщается, что Гундстейн и его люди, спасаясь от Торира Собаки «....плыли на маленьких лодках» (Джксон Т.Н., 1994. – С. 78). Заклепки лодок рассматриваемого времени в большом количестве встречены в погребениях Древней Руси – в Плакуне, Гнёздове, Большом Тимерове, позволившие осуществить реконструкцию этого транспортного средства (Стальсберг А., 1998. – С. 278–279). Такие транспортные средства позволяли быстро перемещать различные товары, не маркируя при этом свой маршрут, с использованием как рыночных, так и силовых уровней воздействия. Дистанционная торговля даже в Х–ХП вв. осуществлялась, согласно Н.А. Макарову, без устройств торговых факторий, могла не оставлять археологических следов (Макаров Н.А., 1997. – С. 167).</w:t>
      </w:r>
    </w:p>
    <w:p w14:paraId="2E3F2E51" w14:textId="77777777" w:rsidR="00CD484C" w:rsidRDefault="00CD484C">
      <w:pPr>
        <w:ind w:firstLine="397"/>
        <w:jc w:val="both"/>
        <w:rPr>
          <w:sz w:val="20"/>
          <w:szCs w:val="16"/>
        </w:rPr>
      </w:pPr>
      <w:r>
        <w:rPr>
          <w:sz w:val="20"/>
          <w:szCs w:val="16"/>
        </w:rPr>
        <w:t xml:space="preserve">Целая группа археологических и нумизматических артефактов, обнаруженных как в ВКА, так и в Скандинавии, проходила по водно-волоконному пути: Вычегда-Сухона, далее, через систему озер: Белое, Онежское, Ладожское в Скандинавию, начиная со второй половины УП в. (Мачинский Д.А., 1998. – С. 134). Среди них бусы «тысячи цветов», монетовидные </w:t>
      </w:r>
      <w:r>
        <w:rPr>
          <w:sz w:val="20"/>
          <w:szCs w:val="16"/>
        </w:rPr>
        <w:lastRenderedPageBreak/>
        <w:t>подвески, детали камских поясов неволинского типа, древнеудмуртские гривны «глазовского типа» (Arne T.J., 1914. – Р. 166, 167; Callmer J., 1977. – Р. 174–177; Stenberger  M., 1977. – S. 439, 440, 468)</w:t>
      </w:r>
      <w:r>
        <w:rPr>
          <w:rStyle w:val="a6"/>
          <w:sz w:val="20"/>
          <w:szCs w:val="16"/>
        </w:rPr>
        <w:footnoteReference w:customMarkFollows="1" w:id="6"/>
        <w:t>6</w:t>
      </w:r>
      <w:r>
        <w:rPr>
          <w:sz w:val="20"/>
          <w:szCs w:val="16"/>
        </w:rPr>
        <w:t xml:space="preserve">. </w:t>
      </w:r>
    </w:p>
    <w:p w14:paraId="48E0A9D3" w14:textId="77777777" w:rsidR="00CD484C" w:rsidRDefault="00CD484C">
      <w:pPr>
        <w:pStyle w:val="a5"/>
        <w:ind w:firstLine="397"/>
        <w:jc w:val="both"/>
        <w:rPr>
          <w:szCs w:val="16"/>
        </w:rPr>
      </w:pPr>
      <w:r>
        <w:rPr>
          <w:szCs w:val="16"/>
        </w:rPr>
        <w:t xml:space="preserve">Возьмем, к примеру, бусы – неизменный атрибут женского, а позднее мужского костюма раннего средневековья. В дометаллическую эпоху бусы в числе других археологических артефактов, по предположению В.Л. Янина, могли служить товаро-деньгами (Янин В.Л., 1956. – С. 179). Сердоликовые, хрустальные бусы из Египта, Сирии, Месопотамии, Центральной Азии широко известны по могильникам Прикамья и Скандинавии, начиная с  VII в. (Голдина Р.Д., Кананин В.А., 1989. – С. 73; Голдина Р.Д., Голдина Е.В., 1997. – С. 10–11). Проанализировав соответствующие исследования Й. Каллмера, Р.Д. Голдина (1997. – С. 11), подтвердила основной тезис шведского ученого, состоящий в том, что бусы, прежде всего миллефиори,  в VII - VIII  вв. попадали из Прикамья в Скандинавию. </w:t>
      </w:r>
    </w:p>
    <w:p w14:paraId="6DDFD9AB" w14:textId="77777777" w:rsidR="00CD484C" w:rsidRDefault="00CD484C">
      <w:pPr>
        <w:pStyle w:val="a5"/>
        <w:ind w:firstLine="397"/>
        <w:jc w:val="both"/>
        <w:rPr>
          <w:szCs w:val="16"/>
        </w:rPr>
      </w:pPr>
      <w:r>
        <w:rPr>
          <w:szCs w:val="16"/>
        </w:rPr>
        <w:t>Рассмотрев практически весь комплекс бус VII – первой трети VIII в., из Большого Кавказа, В.Б. Ковалевская в числе причин начала собственного производства этих украшений, отметила «резкий спад импорта каменных бус с Востока и янтаря из Прибалтики...» (Ковалевская В.Б., 2000. – С. 217 сл.). И, хотя скоплений названных находок еще не обнаружено (Колызин А.М., 2001. – С. 132), их изготовление на Старой Ладоге отметил А.Н. Кирпичников (Кирпичников А.Н., 2002. – С. 52 спр.).</w:t>
      </w:r>
    </w:p>
    <w:p w14:paraId="3FAE630B" w14:textId="77777777" w:rsidR="00CD484C" w:rsidRDefault="00CD484C">
      <w:pPr>
        <w:ind w:firstLine="397"/>
        <w:jc w:val="both"/>
        <w:rPr>
          <w:sz w:val="20"/>
          <w:szCs w:val="16"/>
        </w:rPr>
      </w:pPr>
      <w:r>
        <w:rPr>
          <w:sz w:val="20"/>
          <w:szCs w:val="16"/>
        </w:rPr>
        <w:t xml:space="preserve">Прибалтийские финны, пермяне, а возможно и скандинавы быстро перемещались по широтному трансевропейскому сакрально-торговому пути VIII в. Из комплекса многообразных связей выделяется староладожский клад, найденный в 1892 г. с датой мл.монеты 170/786–787 г. (Марков, 1910. – С. 140. № 24), выпавший еще из слабого серебряного ручейка, проследовавшего по  северному пути. Его связывает с ВКА небольшой монетно-вещевой клад, зафиксированный на нижней Вятке у с.Чумбарей Уржумского уезда, где присутствует одна аббасидская монета 782 г. (Марков А.К., 1910. – С. 7. № 36). /Рис. 1, </w:t>
      </w:r>
      <w:r>
        <w:rPr>
          <w:i/>
          <w:sz w:val="20"/>
          <w:szCs w:val="16"/>
        </w:rPr>
        <w:t>в</w:t>
      </w:r>
      <w:r>
        <w:rPr>
          <w:sz w:val="20"/>
          <w:szCs w:val="16"/>
        </w:rPr>
        <w:t>/.</w:t>
      </w:r>
    </w:p>
    <w:p w14:paraId="201A6275" w14:textId="77777777" w:rsidR="00CD484C" w:rsidRDefault="00CD484C">
      <w:pPr>
        <w:ind w:firstLine="397"/>
        <w:jc w:val="both"/>
        <w:rPr>
          <w:sz w:val="20"/>
          <w:szCs w:val="16"/>
        </w:rPr>
      </w:pPr>
      <w:r>
        <w:rPr>
          <w:sz w:val="20"/>
          <w:szCs w:val="16"/>
        </w:rPr>
        <w:t xml:space="preserve">В настоящее время считается, что начало денежного обращения на землях восточных славян началось с рубежа 770/780-х гг. (Кирпичников А.Н., 1995. – С. 48; Носов Е.Н., 1998. – С. 59–60; Franklin S., Shepard J., 1998. – Р. 75), исторической основой которого является староладожский клад 1892 г., компактный хронологический состав которого – 38 лет (Янин В.Л., 1956. – С. 81, 84, табл. 1.1) –  свидетельствует о стремительном продвижении монет со Среднего Востока. Отсюда следует, что рассматриваемый клад, зарытый, как отмечает А.В. Фомин (1987. – С. 76), не позже 790-х гг., замкнул существовавший исторически непродолжительное время </w:t>
      </w:r>
      <w:r>
        <w:rPr>
          <w:sz w:val="20"/>
          <w:szCs w:val="16"/>
        </w:rPr>
        <w:lastRenderedPageBreak/>
        <w:t xml:space="preserve">гигантский трансконтинентальный путь из Междуречья в Поволхховье (Khan N.A., 2000. – Р. 220). /Рис.1, </w:t>
      </w:r>
      <w:r>
        <w:rPr>
          <w:i/>
          <w:iCs/>
          <w:sz w:val="20"/>
          <w:szCs w:val="16"/>
        </w:rPr>
        <w:t>г</w:t>
      </w:r>
      <w:r>
        <w:rPr>
          <w:sz w:val="20"/>
          <w:szCs w:val="16"/>
        </w:rPr>
        <w:t>/.</w:t>
      </w:r>
    </w:p>
    <w:p w14:paraId="2F3FE498" w14:textId="004AECB6" w:rsidR="00CD484C" w:rsidRDefault="00395416">
      <w:pPr>
        <w:ind w:firstLine="397"/>
        <w:jc w:val="both"/>
        <w:rPr>
          <w:sz w:val="20"/>
          <w:szCs w:val="16"/>
        </w:rPr>
      </w:pPr>
      <w:r>
        <w:rPr>
          <w:noProof/>
          <w:sz w:val="20"/>
          <w:szCs w:val="16"/>
        </w:rPr>
        <mc:AlternateContent>
          <mc:Choice Requires="wps">
            <w:drawing>
              <wp:anchor distT="0" distB="0" distL="114300" distR="114300" simplePos="0" relativeHeight="251624960" behindDoc="0" locked="1" layoutInCell="1" allowOverlap="1" wp14:anchorId="35564DBC" wp14:editId="4EDFF1C5">
                <wp:simplePos x="0" y="0"/>
                <wp:positionH relativeFrom="column">
                  <wp:posOffset>0</wp:posOffset>
                </wp:positionH>
                <wp:positionV relativeFrom="paragraph">
                  <wp:posOffset>-690880</wp:posOffset>
                </wp:positionV>
                <wp:extent cx="4095750" cy="186690"/>
                <wp:effectExtent l="0" t="0" r="3810" b="0"/>
                <wp:wrapNone/>
                <wp:docPr id="107542890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65FBD"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2AF38E02"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64DBC" id="Text Box 177" o:spid="_x0000_s1031" type="#_x0000_t202" style="position:absolute;left:0;text-align:left;margin-left:0;margin-top:-54.4pt;width:322.5pt;height:14.7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" stroked="f">
                <v:textbox inset="0,0,0,0">
                  <w:txbxContent>
                    <w:p w14:paraId="12E65FBD"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2AF38E02" w14:textId="77777777" w:rsidR="00AE2133" w:rsidRDefault="00AE2133">
                      <w:pPr>
                        <w:rPr>
                          <w:b/>
                          <w:bCs/>
                          <w:sz w:val="2"/>
                          <w:u w:val="single"/>
                        </w:rPr>
                      </w:pPr>
                    </w:p>
                  </w:txbxContent>
                </v:textbox>
                <w10:anchorlock/>
              </v:shape>
            </w:pict>
          </mc:Fallback>
        </mc:AlternateContent>
      </w:r>
      <w:r w:rsidR="00CD484C">
        <w:rPr>
          <w:sz w:val="20"/>
          <w:szCs w:val="16"/>
        </w:rPr>
        <w:t>Население Восточной и Северной Европы получило надежный  материал для строительства национальных финансовых систем, принимая дирхем по счету. Денежное обращение в период великих арабских завоеваний было основано на византийской золотой номисме и сасанидской драхме, обусловившие разные весовые нормы и соотношение покупательной способности. Второй халиф ал-Мансур в 18/639 г. установил вес дирхема в 2,985 г. на основе сасанидской драхмы и в условиях государственной монополии на чеканку монеты в Халифате стремились повышать её пробу. (Сейфеддини М.Л., 1977. – С. 85, 94; Большаков О.Г., 1993. – С. 134–139)</w:t>
      </w:r>
      <w:r w:rsidR="00CD484C">
        <w:rPr>
          <w:rStyle w:val="a6"/>
          <w:sz w:val="20"/>
          <w:szCs w:val="16"/>
        </w:rPr>
        <w:footnoteReference w:customMarkFollows="1" w:id="7"/>
        <w:t>7</w:t>
      </w:r>
      <w:r w:rsidR="00CD484C">
        <w:rPr>
          <w:sz w:val="20"/>
          <w:szCs w:val="16"/>
        </w:rPr>
        <w:t>.</w:t>
      </w:r>
    </w:p>
    <w:p w14:paraId="413156A3" w14:textId="77777777" w:rsidR="00CD484C" w:rsidRDefault="00CD484C">
      <w:pPr>
        <w:pStyle w:val="a5"/>
        <w:ind w:firstLine="397"/>
        <w:jc w:val="both"/>
        <w:rPr>
          <w:szCs w:val="16"/>
        </w:rPr>
      </w:pPr>
      <w:r>
        <w:rPr>
          <w:szCs w:val="16"/>
        </w:rPr>
        <w:t xml:space="preserve">В мировой нумизматике существуют две основные проблемы, являющийся причиной многолетних дискуссий, в числе которых – начало денежного обращения и роль иноземной монеты в самом денежном обращении на территории Восточной и Северной Европы. И та и другая решатся с применением методик анализа хронологического состава соответствующих кладов. Если первая из них решается во многом благодаря методике, основоположником которой был выдающийся русский нумизмат Р.Р. Фасмер (1925. – С. 264–269; 1931), комплексно представленной В.Л. Яниным, в основе, которой лежит положение, согласно которому начало денежного обращения на земле восточных славян не могло начаться раньше ввоза дирхема, «тогда как сам ввоз мог начаться только в 70-х – 80-х гг. VIII в.» (Янин В.Л., 1956. – С. 84), а анализ хронологического состава ранних русских кладов, позволил выявить закономерности, носящие характер  статистических зависимостей, состоящие в том, что задержка монет в Восточной Европе в 70-х–80-х гг. VIII в. свидетельствует об адаптации последнего к экономических потребностям общества. О.Г. Большаков приводит слова мусульманских юристов. Ал-Газали, например, писал: «Если она /низкопробная монета – </w:t>
      </w:r>
      <w:r>
        <w:rPr>
          <w:i/>
          <w:iCs/>
          <w:szCs w:val="16"/>
        </w:rPr>
        <w:t>Н.Х</w:t>
      </w:r>
      <w:r>
        <w:rPr>
          <w:szCs w:val="16"/>
        </w:rPr>
        <w:t>./ является местными деньгами города, то неважно – известно количество серебра в ней или нет, а если это монета другой области, то ее можно использовать, если известно содержание в ней серебра» (Большаков О.Г., 1984. – С. 147).</w:t>
      </w:r>
    </w:p>
    <w:p w14:paraId="1CD586A1" w14:textId="77777777" w:rsidR="00CD484C" w:rsidRDefault="00CD484C">
      <w:pPr>
        <w:ind w:firstLine="397"/>
        <w:jc w:val="both"/>
        <w:rPr>
          <w:spacing w:val="2"/>
          <w:sz w:val="20"/>
          <w:szCs w:val="16"/>
        </w:rPr>
      </w:pPr>
      <w:r>
        <w:rPr>
          <w:spacing w:val="2"/>
          <w:sz w:val="20"/>
          <w:szCs w:val="16"/>
        </w:rPr>
        <w:t xml:space="preserve">Изучив динамику выпадения кладов начала 1X в. в Восточной Европе, В.Л. Янин, обратил внимание на хронологию монет, характеризующих обращение дирхема на землях восточных славян. Исследователь убедительно показал, что «обращение восточных монет на Руси не могло начаться ранее их ввоза» (Янин В.Л., 1956. – С. 66, 78). Данный нумизматический постулат является неопровержимым аргументом в пользу </w:t>
      </w:r>
      <w:r>
        <w:rPr>
          <w:spacing w:val="2"/>
          <w:sz w:val="20"/>
          <w:szCs w:val="16"/>
        </w:rPr>
        <w:lastRenderedPageBreak/>
        <w:t xml:space="preserve">датировки кладов по младшей монете, материальной основой которого является клад, найденный в 1892 г. близ Староладожского городища. </w:t>
      </w:r>
    </w:p>
    <w:p w14:paraId="469A990B" w14:textId="77777777" w:rsidR="00CD484C" w:rsidRDefault="00CD484C">
      <w:pPr>
        <w:ind w:firstLine="397"/>
        <w:jc w:val="both"/>
        <w:rPr>
          <w:sz w:val="20"/>
          <w:szCs w:val="16"/>
        </w:rPr>
      </w:pPr>
      <w:r>
        <w:rPr>
          <w:sz w:val="20"/>
          <w:szCs w:val="16"/>
        </w:rPr>
        <w:t xml:space="preserve">В целом же автор не ставит своей целью изучения Староладожского клада. Однако представляется, что история его находки, изучение монетного состава, на основе которого можно было провести изучение эмиссионного распределения, впервые предложенное Р.Р. Фасмером (1925. – С. 264–269), сопоставление которого с синхронными кладами, выпавшими в Закавказье, Центральной Азии и Иране позволят уточнить детали монетного потока, представленного данным кладом. Подобное изучение позволит выяснить его роль во всей системе обращения куфического дирхема в циркумбалтийской зоне, явившийся, согласно Е.Н. Носову (1976. – С. 100–102), А.В. Фомину (1982. – С. 19, рис. 4) началом монетного потока в Южную и Среднею Балтию. </w:t>
      </w:r>
    </w:p>
    <w:p w14:paraId="33EE0A92" w14:textId="77777777" w:rsidR="00CD484C" w:rsidRDefault="00CD484C">
      <w:pPr>
        <w:ind w:firstLine="397"/>
        <w:jc w:val="both"/>
        <w:rPr>
          <w:sz w:val="20"/>
          <w:szCs w:val="16"/>
        </w:rPr>
      </w:pPr>
      <w:r>
        <w:rPr>
          <w:sz w:val="20"/>
          <w:szCs w:val="16"/>
        </w:rPr>
        <w:t>Аргументируя эвристические возможности хронологического метода, В.Л. Янин обращал внимание на клад с м.Форё на о.Готланд, имеющий, как потом оказалось неточным, дату ММ 783 г. Данное обстоятельство, надо сказать, было отмечено В.В. Кропоткиным, который датировал клад 802 г. (Кропоткин В.В., 1978. – С. 115). Находка клада несколько более раннего, чем Староладожский или Чумбарей в циркумбалтийской зоне может обогатить картину старта денежного обращения в данном регионе. Хотя подобную находку, по нынешним представлениям в нумизматике (Янин В.Л., 1956. – С. 82; Фомин А.В., 1982, с.17; Нунан Т., Ковалев Р.К., 2000. – С. 208–209; Носов Е.Н., 2002. – С. 31–33; Franklin S., Shepard J., 1998. – Р. 75–77), чем середина – конец 770-х гг., ожидать не приходится</w:t>
      </w:r>
      <w:r>
        <w:rPr>
          <w:rStyle w:val="a6"/>
          <w:sz w:val="20"/>
          <w:szCs w:val="16"/>
        </w:rPr>
        <w:footnoteReference w:customMarkFollows="1" w:id="8"/>
        <w:t>8</w:t>
      </w:r>
      <w:r>
        <w:rPr>
          <w:sz w:val="20"/>
          <w:szCs w:val="16"/>
        </w:rPr>
        <w:t>.</w:t>
      </w:r>
    </w:p>
    <w:p w14:paraId="4E185922" w14:textId="77777777" w:rsidR="00CD484C" w:rsidRDefault="00CD484C">
      <w:pPr>
        <w:pStyle w:val="a7"/>
        <w:ind w:firstLine="397"/>
        <w:rPr>
          <w:sz w:val="20"/>
          <w:szCs w:val="16"/>
          <w:lang w:val="ru-RU"/>
        </w:rPr>
      </w:pPr>
      <w:r>
        <w:rPr>
          <w:sz w:val="20"/>
          <w:szCs w:val="16"/>
          <w:lang w:val="ru-RU"/>
        </w:rPr>
        <w:t>Исходя из методики анализа хронологического состава кладов, необходимо отметить факт превышения, равное 1,55 соотношения младшей хроногруппы староладожского клада над предыдущей. /Табл. 1/. Как представляется, данный показатель, требующий, безусловно, еще дополнительного обоснования, позволяет предположить скорость монетного потока, из которого выпал тот или иной клад, т.е. выявить степень обновления хронологического состава, т.к. нумизматика располагает кладами демонстрирующие обратную картину /См. Очерк 3/, Таким образом, не пытаясь апеллировать только к тому, немаловажному обстоятельству, - дата младшей монеты Строладожского клада, отражающей самый ранний монетный клад в Европе с куфическими дирхемами, а здесь важно само существо процесса становление денежного обращения с использованием иноземной монеты.</w:t>
      </w:r>
    </w:p>
    <w:p w14:paraId="17203BE1" w14:textId="018588CB" w:rsidR="00CD484C" w:rsidRDefault="00395416">
      <w:pPr>
        <w:ind w:firstLine="397"/>
        <w:jc w:val="both"/>
        <w:rPr>
          <w:sz w:val="20"/>
          <w:szCs w:val="16"/>
        </w:rPr>
      </w:pPr>
      <w:r>
        <w:rPr>
          <w:noProof/>
          <w:sz w:val="20"/>
          <w:szCs w:val="16"/>
        </w:rPr>
        <mc:AlternateContent>
          <mc:Choice Requires="wps">
            <w:drawing>
              <wp:anchor distT="0" distB="0" distL="114300" distR="114300" simplePos="0" relativeHeight="251625984" behindDoc="0" locked="1" layoutInCell="1" allowOverlap="1" wp14:anchorId="4AF0EDD4" wp14:editId="665261F9">
                <wp:simplePos x="0" y="0"/>
                <wp:positionH relativeFrom="column">
                  <wp:posOffset>0</wp:posOffset>
                </wp:positionH>
                <wp:positionV relativeFrom="paragraph">
                  <wp:posOffset>-252730</wp:posOffset>
                </wp:positionV>
                <wp:extent cx="4095750" cy="186690"/>
                <wp:effectExtent l="0" t="0" r="3810" b="0"/>
                <wp:wrapNone/>
                <wp:docPr id="18510580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5CB032"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76E06512"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0EDD4" id="Text Box 178" o:spid="_x0000_s1032" type="#_x0000_t202" style="position:absolute;left:0;text-align:left;margin-left:0;margin-top:-19.9pt;width:322.5pt;height:14.7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KH7gEAAME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" stroked="f">
                <v:textbox inset="0,0,0,0">
                  <w:txbxContent>
                    <w:p w14:paraId="585CB032"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76E06512" w14:textId="77777777" w:rsidR="00AE2133" w:rsidRDefault="00AE2133">
                      <w:pPr>
                        <w:rPr>
                          <w:b/>
                          <w:bCs/>
                          <w:sz w:val="2"/>
                          <w:u w:val="single"/>
                        </w:rPr>
                      </w:pPr>
                    </w:p>
                  </w:txbxContent>
                </v:textbox>
                <w10:anchorlock/>
              </v:shape>
            </w:pict>
          </mc:Fallback>
        </mc:AlternateContent>
      </w:r>
      <w:r w:rsidR="00CD484C">
        <w:rPr>
          <w:sz w:val="20"/>
          <w:szCs w:val="16"/>
        </w:rPr>
        <w:t xml:space="preserve">Не следует искать соответствие между приведенными цифровыми значениями в таблице 1 и таблицей хронологического состава кладов куфических монет в книге В.Л. Янина, поскольку перед исследователем стояли </w:t>
      </w:r>
      <w:r w:rsidR="00CD484C">
        <w:rPr>
          <w:sz w:val="20"/>
          <w:szCs w:val="16"/>
        </w:rPr>
        <w:lastRenderedPageBreak/>
        <w:t>другие задачи</w:t>
      </w:r>
      <w:r w:rsidR="00CD484C">
        <w:rPr>
          <w:rStyle w:val="a6"/>
          <w:sz w:val="20"/>
          <w:szCs w:val="16"/>
        </w:rPr>
        <w:footnoteReference w:customMarkFollows="1" w:id="9"/>
        <w:t>9</w:t>
      </w:r>
      <w:r w:rsidR="00CD484C">
        <w:rPr>
          <w:sz w:val="20"/>
          <w:szCs w:val="16"/>
        </w:rPr>
        <w:t>. Нами же предпринимается  первая попытка выявления хронологического состава данного клада исходя из датировки младшей монеты. /Рис. 2/.</w:t>
      </w:r>
    </w:p>
    <w:p w14:paraId="4AA5E800" w14:textId="77777777" w:rsidR="00CD484C" w:rsidRDefault="00CD484C">
      <w:pPr>
        <w:ind w:firstLine="397"/>
        <w:jc w:val="both"/>
        <w:rPr>
          <w:sz w:val="20"/>
          <w:szCs w:val="16"/>
        </w:rPr>
      </w:pPr>
    </w:p>
    <w:p w14:paraId="59C229DB" w14:textId="26CCEE9F" w:rsidR="00CD484C" w:rsidRDefault="00395416">
      <w:pPr>
        <w:jc w:val="center"/>
        <w:rPr>
          <w:sz w:val="20"/>
          <w:szCs w:val="16"/>
        </w:rPr>
      </w:pPr>
      <w:r>
        <w:rPr>
          <w:noProof/>
          <w:sz w:val="20"/>
          <w:szCs w:val="16"/>
        </w:rPr>
        <mc:AlternateContent>
          <mc:Choice Requires="wps">
            <w:drawing>
              <wp:anchor distT="0" distB="0" distL="114300" distR="114300" simplePos="0" relativeHeight="251612672" behindDoc="0" locked="0" layoutInCell="1" allowOverlap="1" wp14:anchorId="17E0B144" wp14:editId="694C14F5">
                <wp:simplePos x="0" y="0"/>
                <wp:positionH relativeFrom="column">
                  <wp:posOffset>571500</wp:posOffset>
                </wp:positionH>
                <wp:positionV relativeFrom="paragraph">
                  <wp:posOffset>54610</wp:posOffset>
                </wp:positionV>
                <wp:extent cx="2971800" cy="457200"/>
                <wp:effectExtent l="0" t="1270" r="3810" b="0"/>
                <wp:wrapNone/>
                <wp:docPr id="68556428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C3049" id="Rectangle 12" o:spid="_x0000_s1026" style="position:absolute;margin-left:45pt;margin-top:4.3pt;width:234pt;height:36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" stroked="f"/>
            </w:pict>
          </mc:Fallback>
        </mc:AlternateContent>
      </w:r>
      <w:r>
        <w:rPr>
          <w:noProof/>
          <w:sz w:val="20"/>
          <w:szCs w:val="16"/>
        </w:rPr>
        <w:drawing>
          <wp:inline distT="0" distB="0" distL="0" distR="0" wp14:anchorId="7D447C98" wp14:editId="2FEF88F9">
            <wp:extent cx="3902710" cy="28359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2710" cy="2835910"/>
                    </a:xfrm>
                    <a:prstGeom prst="rect">
                      <a:avLst/>
                    </a:prstGeom>
                    <a:noFill/>
                    <a:ln>
                      <a:noFill/>
                    </a:ln>
                  </pic:spPr>
                </pic:pic>
              </a:graphicData>
            </a:graphic>
          </wp:inline>
        </w:drawing>
      </w:r>
    </w:p>
    <w:p w14:paraId="08CC98F1" w14:textId="77777777" w:rsidR="00CD484C" w:rsidRDefault="00CD484C">
      <w:pPr>
        <w:jc w:val="center"/>
        <w:rPr>
          <w:b/>
          <w:bCs/>
          <w:i/>
          <w:iCs/>
          <w:sz w:val="18"/>
          <w:szCs w:val="16"/>
        </w:rPr>
      </w:pPr>
    </w:p>
    <w:p w14:paraId="2C141BFC" w14:textId="77777777" w:rsidR="00CD484C" w:rsidRDefault="00CD484C">
      <w:pPr>
        <w:jc w:val="center"/>
        <w:rPr>
          <w:i/>
          <w:iCs/>
          <w:sz w:val="18"/>
          <w:szCs w:val="16"/>
        </w:rPr>
      </w:pPr>
      <w:r>
        <w:rPr>
          <w:b/>
          <w:bCs/>
          <w:i/>
          <w:iCs/>
          <w:sz w:val="18"/>
          <w:szCs w:val="16"/>
        </w:rPr>
        <w:t xml:space="preserve">Рис. 2. </w:t>
      </w:r>
      <w:r>
        <w:rPr>
          <w:i/>
          <w:iCs/>
          <w:sz w:val="18"/>
          <w:szCs w:val="16"/>
        </w:rPr>
        <w:t xml:space="preserve">Староладожский клад 1892 г. Хронологическое распределение </w:t>
      </w:r>
      <w:r>
        <w:rPr>
          <w:i/>
          <w:iCs/>
          <w:sz w:val="18"/>
          <w:szCs w:val="16"/>
        </w:rPr>
        <w:br/>
        <w:t>(по А.К. Маркову, учитывается 29 монет)</w:t>
      </w:r>
    </w:p>
    <w:p w14:paraId="1A82627F" w14:textId="77777777" w:rsidR="00CD484C" w:rsidRDefault="00CD484C">
      <w:pPr>
        <w:ind w:firstLine="397"/>
        <w:jc w:val="both"/>
        <w:rPr>
          <w:sz w:val="20"/>
          <w:szCs w:val="16"/>
        </w:rPr>
      </w:pPr>
    </w:p>
    <w:p w14:paraId="170974B6" w14:textId="77777777" w:rsidR="00CD484C" w:rsidRDefault="00CD484C">
      <w:pPr>
        <w:ind w:firstLine="397"/>
        <w:jc w:val="both"/>
        <w:rPr>
          <w:sz w:val="20"/>
          <w:szCs w:val="16"/>
        </w:rPr>
      </w:pPr>
      <w:r>
        <w:rPr>
          <w:sz w:val="20"/>
          <w:szCs w:val="16"/>
        </w:rPr>
        <w:t xml:space="preserve">Гистограмма демонстрирует постепенное увеличение поступления серебра в данной регион и, как уже отмечалось, превышение младшей ХГ над ней предшествующей составляет 1,55. По наблюдениям В.Л. Янина  в кладах, выпавших на территории Восточной Европы, сокрытых до конца 820-х гг., хроногруппа монет, отчеканенных в 780-е годы, превышает предшествующую хроногруппу, исключения составляют клады Княщины и Завалишинский, имеющие совершенно разную топографическую привязку (Янин В.Л., 1956, табл. 1). Использование подсчетов данной таблицы представляется уместным, потому что нами привлекаются показания условных </w:t>
      </w:r>
      <w:r>
        <w:rPr>
          <w:sz w:val="20"/>
          <w:szCs w:val="16"/>
        </w:rPr>
        <w:lastRenderedPageBreak/>
        <w:t>периодов, отстоящие от последнего на один, т.е. накопление статистического материала в них происходило независимо от даты последней монеты</w:t>
      </w:r>
      <w:r>
        <w:rPr>
          <w:rStyle w:val="a6"/>
          <w:sz w:val="20"/>
          <w:szCs w:val="16"/>
        </w:rPr>
        <w:footnoteReference w:customMarkFollows="1" w:id="10"/>
        <w:t>10</w:t>
      </w:r>
      <w:r>
        <w:rPr>
          <w:sz w:val="20"/>
          <w:szCs w:val="16"/>
        </w:rPr>
        <w:t xml:space="preserve">. </w:t>
      </w:r>
    </w:p>
    <w:p w14:paraId="60CF2409" w14:textId="77777777" w:rsidR="00CD484C" w:rsidRDefault="00CD484C">
      <w:pPr>
        <w:ind w:firstLine="397"/>
        <w:jc w:val="both"/>
        <w:rPr>
          <w:sz w:val="20"/>
          <w:szCs w:val="16"/>
        </w:rPr>
      </w:pPr>
      <w:r>
        <w:rPr>
          <w:sz w:val="20"/>
          <w:szCs w:val="16"/>
        </w:rPr>
        <w:t>Вместе с этим, более точные результаты можно будет получить, анализируя в целом клады начала IX в., происходящие из Поволховья, в том числе и клад Княщины III 1874–1924 гг. с датой ММ 808 г., отчеканенных в 18 городах восточных и западных провинций Халифата (Кирпичников А.Н., 1995. – С. 37–38, 44), тогда как 31 монета Староладожского клада представлена 8 эмиссионными центрами /Рис. 2, 3, табл. 1/.</w:t>
      </w:r>
    </w:p>
    <w:p w14:paraId="05A656C6" w14:textId="77777777" w:rsidR="00CD484C" w:rsidRDefault="00CD484C">
      <w:pPr>
        <w:ind w:firstLine="397"/>
        <w:jc w:val="both"/>
        <w:rPr>
          <w:sz w:val="20"/>
          <w:szCs w:val="16"/>
        </w:rPr>
      </w:pPr>
    </w:p>
    <w:p w14:paraId="595B93D0" w14:textId="480C6C1F" w:rsidR="00CD484C" w:rsidRDefault="00395416">
      <w:pPr>
        <w:jc w:val="center"/>
        <w:rPr>
          <w:sz w:val="20"/>
          <w:szCs w:val="16"/>
        </w:rPr>
      </w:pPr>
      <w:r>
        <w:rPr>
          <w:noProof/>
          <w:sz w:val="20"/>
          <w:szCs w:val="16"/>
        </w:rPr>
        <w:drawing>
          <wp:inline distT="0" distB="0" distL="0" distR="0" wp14:anchorId="476CC3B0" wp14:editId="35D1ADFC">
            <wp:extent cx="3456305" cy="246570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428102" w14:textId="77777777" w:rsidR="00CD484C" w:rsidRDefault="00CD484C">
      <w:pPr>
        <w:ind w:firstLine="397"/>
        <w:jc w:val="both"/>
        <w:rPr>
          <w:sz w:val="20"/>
          <w:szCs w:val="16"/>
        </w:rPr>
      </w:pPr>
    </w:p>
    <w:p w14:paraId="775BF986" w14:textId="77777777" w:rsidR="00CD484C" w:rsidRDefault="00CD484C">
      <w:pPr>
        <w:jc w:val="center"/>
        <w:rPr>
          <w:sz w:val="20"/>
          <w:szCs w:val="16"/>
        </w:rPr>
      </w:pPr>
      <w:r>
        <w:rPr>
          <w:b/>
          <w:bCs/>
          <w:i/>
          <w:iCs/>
          <w:sz w:val="18"/>
          <w:szCs w:val="16"/>
        </w:rPr>
        <w:t>Рис. 3.</w:t>
      </w:r>
      <w:r>
        <w:rPr>
          <w:i/>
          <w:iCs/>
          <w:sz w:val="18"/>
          <w:szCs w:val="16"/>
        </w:rPr>
        <w:t xml:space="preserve">  Староладожский клад 1892 г. </w:t>
      </w:r>
      <w:r>
        <w:rPr>
          <w:i/>
          <w:iCs/>
          <w:sz w:val="18"/>
          <w:szCs w:val="16"/>
        </w:rPr>
        <w:br/>
        <w:t xml:space="preserve">Эмиссионное распределение </w:t>
      </w:r>
      <w:r>
        <w:rPr>
          <w:i/>
          <w:iCs/>
          <w:sz w:val="18"/>
          <w:szCs w:val="16"/>
        </w:rPr>
        <w:br/>
        <w:t>(по А.К. Маркову, распределен 31 дирхем)</w:t>
      </w:r>
    </w:p>
    <w:p w14:paraId="1E8074AE" w14:textId="77777777" w:rsidR="00CD484C" w:rsidRDefault="00CD484C">
      <w:pPr>
        <w:ind w:firstLine="397"/>
        <w:jc w:val="right"/>
        <w:rPr>
          <w:i/>
          <w:iCs/>
          <w:sz w:val="20"/>
          <w:szCs w:val="16"/>
        </w:rPr>
      </w:pPr>
    </w:p>
    <w:p w14:paraId="4108F95F" w14:textId="4EAC4442" w:rsidR="00CD484C" w:rsidRDefault="00395416">
      <w:pPr>
        <w:ind w:firstLine="397"/>
        <w:jc w:val="right"/>
        <w:rPr>
          <w:i/>
          <w:iCs/>
          <w:sz w:val="20"/>
          <w:szCs w:val="16"/>
        </w:rPr>
      </w:pPr>
      <w:r>
        <w:rPr>
          <w:i/>
          <w:iCs/>
          <w:noProof/>
          <w:sz w:val="20"/>
          <w:szCs w:val="16"/>
        </w:rPr>
        <mc:AlternateContent>
          <mc:Choice Requires="wps">
            <w:drawing>
              <wp:anchor distT="0" distB="0" distL="114300" distR="114300" simplePos="0" relativeHeight="251627008" behindDoc="0" locked="1" layoutInCell="1" allowOverlap="1" wp14:anchorId="21FD299D" wp14:editId="262AAFF0">
                <wp:simplePos x="0" y="0"/>
                <wp:positionH relativeFrom="column">
                  <wp:posOffset>0</wp:posOffset>
                </wp:positionH>
                <wp:positionV relativeFrom="paragraph">
                  <wp:posOffset>-252730</wp:posOffset>
                </wp:positionV>
                <wp:extent cx="4095750" cy="186690"/>
                <wp:effectExtent l="0" t="0" r="3810" b="4445"/>
                <wp:wrapNone/>
                <wp:docPr id="111700852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4B131"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032E6698"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D299D" id="Text Box 179" o:spid="_x0000_s1033" type="#_x0000_t202" style="position:absolute;left:0;text-align:left;margin-left:0;margin-top:-19.9pt;width:322.5pt;height:14.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jS7gEAAMEDAAAOAAAAZHJzL2Uyb0RvYy54bWysU8Fu2zAMvQ/YPwi6L3aKNW2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" stroked="f">
                <v:textbox inset="0,0,0,0">
                  <w:txbxContent>
                    <w:p w14:paraId="02A4B131"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032E6698" w14:textId="77777777" w:rsidR="00AE2133" w:rsidRDefault="00AE2133">
                      <w:pPr>
                        <w:rPr>
                          <w:b/>
                          <w:bCs/>
                          <w:sz w:val="2"/>
                          <w:u w:val="single"/>
                        </w:rPr>
                      </w:pPr>
                    </w:p>
                  </w:txbxContent>
                </v:textbox>
                <w10:anchorlock/>
              </v:shape>
            </w:pict>
          </mc:Fallback>
        </mc:AlternateContent>
      </w:r>
      <w:r w:rsidR="00CD484C">
        <w:rPr>
          <w:i/>
          <w:iCs/>
          <w:sz w:val="20"/>
          <w:szCs w:val="16"/>
        </w:rPr>
        <w:t>Таблица 1</w:t>
      </w:r>
    </w:p>
    <w:p w14:paraId="10539A44" w14:textId="77777777" w:rsidR="00CD484C" w:rsidRDefault="00CD484C">
      <w:pPr>
        <w:spacing w:after="120"/>
        <w:jc w:val="center"/>
        <w:rPr>
          <w:b/>
          <w:bCs/>
          <w:sz w:val="20"/>
          <w:szCs w:val="16"/>
        </w:rPr>
      </w:pPr>
      <w:r>
        <w:rPr>
          <w:b/>
          <w:bCs/>
          <w:sz w:val="20"/>
          <w:szCs w:val="16"/>
        </w:rPr>
        <w:t>Староладожский клад 1892 г. Хронолого-эмиссионное распределение. Численные значения (По А.К. Маркову. Распределено 29 монет.)*</w:t>
      </w:r>
    </w:p>
    <w:tbl>
      <w:tblPr>
        <w:tblW w:w="6441" w:type="dxa"/>
        <w:jc w:val="center"/>
        <w:tblBorders>
          <w:top w:val="single" w:sz="6" w:space="0" w:color="auto"/>
          <w:left w:val="single" w:sz="6" w:space="0" w:color="auto"/>
          <w:bottom w:val="single" w:sz="6" w:space="0" w:color="auto"/>
          <w:right w:val="single" w:sz="6" w:space="0" w:color="auto"/>
          <w:insideH w:val="single" w:sz="18" w:space="0" w:color="FFFFFF"/>
          <w:insideV w:val="single" w:sz="18" w:space="0" w:color="FFFFFF"/>
        </w:tblBorders>
        <w:tblLayout w:type="fixed"/>
        <w:tblCellMar>
          <w:left w:w="30" w:type="dxa"/>
          <w:right w:w="30" w:type="dxa"/>
        </w:tblCellMar>
        <w:tblLook w:val="00A0" w:firstRow="1" w:lastRow="0" w:firstColumn="1" w:lastColumn="0" w:noHBand="0" w:noVBand="0"/>
      </w:tblPr>
      <w:tblGrid>
        <w:gridCol w:w="1581"/>
        <w:gridCol w:w="1260"/>
        <w:gridCol w:w="1225"/>
        <w:gridCol w:w="1131"/>
        <w:gridCol w:w="1244"/>
      </w:tblGrid>
      <w:tr w:rsidR="00CD484C" w14:paraId="701822C5" w14:textId="77777777">
        <w:trPr>
          <w:trHeight w:val="261"/>
          <w:jc w:val="center"/>
        </w:trPr>
        <w:tc>
          <w:tcPr>
            <w:tcW w:w="1581" w:type="dxa"/>
            <w:tcBorders>
              <w:top w:val="single" w:sz="6" w:space="0" w:color="auto"/>
              <w:bottom w:val="single" w:sz="6" w:space="0" w:color="auto"/>
            </w:tcBorders>
            <w:shd w:val="pct20" w:color="000000" w:fill="FFFFFF"/>
            <w:vAlign w:val="center"/>
          </w:tcPr>
          <w:p w14:paraId="7251D3A1" w14:textId="77777777" w:rsidR="00CD484C" w:rsidRDefault="00CD484C">
            <w:pPr>
              <w:jc w:val="both"/>
              <w:rPr>
                <w:b/>
                <w:sz w:val="18"/>
                <w:szCs w:val="16"/>
              </w:rPr>
            </w:pPr>
          </w:p>
        </w:tc>
        <w:tc>
          <w:tcPr>
            <w:tcW w:w="1260" w:type="dxa"/>
            <w:tcBorders>
              <w:top w:val="single" w:sz="6" w:space="0" w:color="auto"/>
              <w:bottom w:val="single" w:sz="6" w:space="0" w:color="auto"/>
            </w:tcBorders>
            <w:shd w:val="pct20" w:color="000000" w:fill="FFFFFF"/>
            <w:vAlign w:val="center"/>
          </w:tcPr>
          <w:p w14:paraId="4830B8C8" w14:textId="77777777" w:rsidR="00CD484C" w:rsidRDefault="00CD484C">
            <w:pPr>
              <w:jc w:val="center"/>
              <w:rPr>
                <w:b/>
                <w:sz w:val="16"/>
                <w:szCs w:val="16"/>
              </w:rPr>
            </w:pPr>
            <w:r>
              <w:rPr>
                <w:b/>
                <w:sz w:val="16"/>
                <w:szCs w:val="16"/>
              </w:rPr>
              <w:t>131-140/748-757</w:t>
            </w:r>
          </w:p>
        </w:tc>
        <w:tc>
          <w:tcPr>
            <w:tcW w:w="1225" w:type="dxa"/>
            <w:tcBorders>
              <w:top w:val="single" w:sz="6" w:space="0" w:color="auto"/>
              <w:bottom w:val="single" w:sz="6" w:space="0" w:color="auto"/>
            </w:tcBorders>
            <w:shd w:val="pct20" w:color="000000" w:fill="FFFFFF"/>
            <w:vAlign w:val="center"/>
          </w:tcPr>
          <w:p w14:paraId="102D9CB6" w14:textId="77777777" w:rsidR="00CD484C" w:rsidRDefault="00CD484C">
            <w:pPr>
              <w:ind w:hanging="21"/>
              <w:jc w:val="center"/>
              <w:rPr>
                <w:b/>
                <w:sz w:val="16"/>
                <w:szCs w:val="16"/>
              </w:rPr>
            </w:pPr>
            <w:r>
              <w:rPr>
                <w:b/>
                <w:sz w:val="16"/>
                <w:szCs w:val="16"/>
              </w:rPr>
              <w:t>141-150/758-767</w:t>
            </w:r>
          </w:p>
        </w:tc>
        <w:tc>
          <w:tcPr>
            <w:tcW w:w="1131" w:type="dxa"/>
            <w:tcBorders>
              <w:top w:val="single" w:sz="6" w:space="0" w:color="auto"/>
              <w:bottom w:val="single" w:sz="6" w:space="0" w:color="auto"/>
            </w:tcBorders>
            <w:shd w:val="pct20" w:color="000000" w:fill="FFFFFF"/>
            <w:vAlign w:val="center"/>
          </w:tcPr>
          <w:p w14:paraId="40E1B39B" w14:textId="77777777" w:rsidR="00CD484C" w:rsidRDefault="00CD484C">
            <w:pPr>
              <w:jc w:val="center"/>
              <w:rPr>
                <w:b/>
                <w:sz w:val="16"/>
                <w:szCs w:val="16"/>
              </w:rPr>
            </w:pPr>
            <w:r>
              <w:rPr>
                <w:b/>
                <w:sz w:val="16"/>
                <w:szCs w:val="16"/>
              </w:rPr>
              <w:t>151-160768-777</w:t>
            </w:r>
          </w:p>
        </w:tc>
        <w:tc>
          <w:tcPr>
            <w:tcW w:w="1244" w:type="dxa"/>
            <w:tcBorders>
              <w:top w:val="single" w:sz="6" w:space="0" w:color="auto"/>
              <w:bottom w:val="single" w:sz="6" w:space="0" w:color="auto"/>
            </w:tcBorders>
            <w:shd w:val="pct20" w:color="000000" w:fill="FFFFFF"/>
            <w:vAlign w:val="center"/>
          </w:tcPr>
          <w:p w14:paraId="2DB411B5" w14:textId="77777777" w:rsidR="00CD484C" w:rsidRDefault="00CD484C">
            <w:pPr>
              <w:jc w:val="center"/>
              <w:rPr>
                <w:b/>
                <w:sz w:val="16"/>
                <w:szCs w:val="16"/>
              </w:rPr>
            </w:pPr>
            <w:r>
              <w:rPr>
                <w:b/>
                <w:sz w:val="16"/>
                <w:szCs w:val="16"/>
              </w:rPr>
              <w:t>161-170/778-787</w:t>
            </w:r>
          </w:p>
        </w:tc>
      </w:tr>
      <w:tr w:rsidR="00CD484C" w14:paraId="488DB05D" w14:textId="77777777">
        <w:trPr>
          <w:trHeight w:val="261"/>
          <w:jc w:val="center"/>
        </w:trPr>
        <w:tc>
          <w:tcPr>
            <w:tcW w:w="1581" w:type="dxa"/>
            <w:tcBorders>
              <w:top w:val="nil"/>
            </w:tcBorders>
            <w:shd w:val="pct5" w:color="000000" w:fill="FFFFFF"/>
            <w:vAlign w:val="center"/>
          </w:tcPr>
          <w:p w14:paraId="68FACD7C" w14:textId="77777777" w:rsidR="00CD484C" w:rsidRDefault="00CD484C">
            <w:pPr>
              <w:pStyle w:val="4"/>
              <w:ind w:firstLine="0"/>
              <w:rPr>
                <w:sz w:val="18"/>
              </w:rPr>
            </w:pPr>
            <w:r>
              <w:rPr>
                <w:sz w:val="18"/>
              </w:rPr>
              <w:t>Эль-Джезира</w:t>
            </w:r>
          </w:p>
        </w:tc>
        <w:tc>
          <w:tcPr>
            <w:tcW w:w="1260" w:type="dxa"/>
            <w:tcBorders>
              <w:top w:val="nil"/>
            </w:tcBorders>
            <w:shd w:val="pct5" w:color="000000" w:fill="FFFFFF"/>
            <w:vAlign w:val="center"/>
          </w:tcPr>
          <w:p w14:paraId="78A9F9DE" w14:textId="77777777" w:rsidR="00CD484C" w:rsidRDefault="00CD484C">
            <w:pPr>
              <w:jc w:val="center"/>
              <w:rPr>
                <w:sz w:val="18"/>
                <w:szCs w:val="16"/>
              </w:rPr>
            </w:pPr>
            <w:r>
              <w:rPr>
                <w:sz w:val="18"/>
                <w:szCs w:val="16"/>
              </w:rPr>
              <w:t>1/3,45</w:t>
            </w:r>
          </w:p>
        </w:tc>
        <w:tc>
          <w:tcPr>
            <w:tcW w:w="1225" w:type="dxa"/>
            <w:tcBorders>
              <w:top w:val="nil"/>
            </w:tcBorders>
            <w:shd w:val="pct5" w:color="000000" w:fill="FFFFFF"/>
            <w:vAlign w:val="center"/>
          </w:tcPr>
          <w:p w14:paraId="2BE3A21A" w14:textId="77777777" w:rsidR="00CD484C" w:rsidRDefault="00CD484C">
            <w:pPr>
              <w:ind w:hanging="21"/>
              <w:jc w:val="center"/>
              <w:rPr>
                <w:sz w:val="18"/>
                <w:szCs w:val="16"/>
              </w:rPr>
            </w:pPr>
          </w:p>
        </w:tc>
        <w:tc>
          <w:tcPr>
            <w:tcW w:w="1131" w:type="dxa"/>
            <w:tcBorders>
              <w:top w:val="nil"/>
            </w:tcBorders>
            <w:shd w:val="pct5" w:color="000000" w:fill="FFFFFF"/>
            <w:vAlign w:val="center"/>
          </w:tcPr>
          <w:p w14:paraId="56CE7B03" w14:textId="77777777" w:rsidR="00CD484C" w:rsidRDefault="00CD484C">
            <w:pPr>
              <w:jc w:val="center"/>
              <w:rPr>
                <w:sz w:val="18"/>
                <w:szCs w:val="16"/>
              </w:rPr>
            </w:pPr>
          </w:p>
        </w:tc>
        <w:tc>
          <w:tcPr>
            <w:tcW w:w="1244" w:type="dxa"/>
            <w:tcBorders>
              <w:top w:val="nil"/>
            </w:tcBorders>
            <w:shd w:val="pct5" w:color="000000" w:fill="FFFFFF"/>
            <w:vAlign w:val="center"/>
          </w:tcPr>
          <w:p w14:paraId="4A520B70" w14:textId="77777777" w:rsidR="00CD484C" w:rsidRDefault="00CD484C">
            <w:pPr>
              <w:jc w:val="center"/>
              <w:rPr>
                <w:sz w:val="18"/>
                <w:szCs w:val="16"/>
              </w:rPr>
            </w:pPr>
          </w:p>
        </w:tc>
      </w:tr>
      <w:tr w:rsidR="00CD484C" w14:paraId="09616D38" w14:textId="77777777">
        <w:trPr>
          <w:trHeight w:val="261"/>
          <w:jc w:val="center"/>
        </w:trPr>
        <w:tc>
          <w:tcPr>
            <w:tcW w:w="1581" w:type="dxa"/>
            <w:shd w:val="pct20" w:color="000000" w:fill="FFFFFF"/>
            <w:vAlign w:val="center"/>
          </w:tcPr>
          <w:p w14:paraId="7EB3B01B" w14:textId="77777777" w:rsidR="00CD484C" w:rsidRDefault="00CD484C">
            <w:pPr>
              <w:jc w:val="both"/>
              <w:rPr>
                <w:b/>
                <w:i/>
                <w:sz w:val="18"/>
                <w:szCs w:val="16"/>
              </w:rPr>
            </w:pPr>
            <w:r>
              <w:rPr>
                <w:b/>
                <w:i/>
                <w:sz w:val="18"/>
                <w:szCs w:val="16"/>
              </w:rPr>
              <w:t>Куфа</w:t>
            </w:r>
          </w:p>
        </w:tc>
        <w:tc>
          <w:tcPr>
            <w:tcW w:w="1260" w:type="dxa"/>
            <w:shd w:val="pct20" w:color="000000" w:fill="FFFFFF"/>
            <w:vAlign w:val="center"/>
          </w:tcPr>
          <w:p w14:paraId="4E77F138" w14:textId="77777777" w:rsidR="00CD484C" w:rsidRDefault="00CD484C">
            <w:pPr>
              <w:jc w:val="center"/>
              <w:rPr>
                <w:sz w:val="18"/>
                <w:szCs w:val="16"/>
              </w:rPr>
            </w:pPr>
            <w:r>
              <w:rPr>
                <w:sz w:val="18"/>
                <w:szCs w:val="16"/>
              </w:rPr>
              <w:t>1/3,45</w:t>
            </w:r>
          </w:p>
        </w:tc>
        <w:tc>
          <w:tcPr>
            <w:tcW w:w="1225" w:type="dxa"/>
            <w:shd w:val="pct20" w:color="000000" w:fill="FFFFFF"/>
            <w:vAlign w:val="center"/>
          </w:tcPr>
          <w:p w14:paraId="6A6DE375" w14:textId="77777777" w:rsidR="00CD484C" w:rsidRDefault="00CD484C">
            <w:pPr>
              <w:ind w:hanging="21"/>
              <w:jc w:val="center"/>
              <w:rPr>
                <w:sz w:val="18"/>
                <w:szCs w:val="16"/>
              </w:rPr>
            </w:pPr>
          </w:p>
        </w:tc>
        <w:tc>
          <w:tcPr>
            <w:tcW w:w="1131" w:type="dxa"/>
            <w:shd w:val="pct20" w:color="000000" w:fill="FFFFFF"/>
            <w:vAlign w:val="center"/>
          </w:tcPr>
          <w:p w14:paraId="14BBF1D9" w14:textId="77777777" w:rsidR="00CD484C" w:rsidRDefault="00CD484C">
            <w:pPr>
              <w:jc w:val="center"/>
              <w:rPr>
                <w:sz w:val="18"/>
                <w:szCs w:val="16"/>
              </w:rPr>
            </w:pPr>
          </w:p>
        </w:tc>
        <w:tc>
          <w:tcPr>
            <w:tcW w:w="1244" w:type="dxa"/>
            <w:shd w:val="pct20" w:color="000000" w:fill="FFFFFF"/>
            <w:vAlign w:val="center"/>
          </w:tcPr>
          <w:p w14:paraId="0939CC5B" w14:textId="77777777" w:rsidR="00CD484C" w:rsidRDefault="00CD484C">
            <w:pPr>
              <w:jc w:val="center"/>
              <w:rPr>
                <w:sz w:val="18"/>
                <w:szCs w:val="16"/>
              </w:rPr>
            </w:pPr>
          </w:p>
        </w:tc>
      </w:tr>
      <w:tr w:rsidR="00CD484C" w14:paraId="546ADD10" w14:textId="77777777">
        <w:trPr>
          <w:trHeight w:val="261"/>
          <w:jc w:val="center"/>
        </w:trPr>
        <w:tc>
          <w:tcPr>
            <w:tcW w:w="1581" w:type="dxa"/>
            <w:shd w:val="pct5" w:color="000000" w:fill="FFFFFF"/>
            <w:vAlign w:val="center"/>
          </w:tcPr>
          <w:p w14:paraId="79A7AC9F" w14:textId="77777777" w:rsidR="00CD484C" w:rsidRDefault="00CD484C">
            <w:pPr>
              <w:jc w:val="both"/>
              <w:rPr>
                <w:b/>
                <w:i/>
                <w:sz w:val="18"/>
                <w:szCs w:val="16"/>
              </w:rPr>
            </w:pPr>
            <w:r>
              <w:rPr>
                <w:b/>
                <w:i/>
                <w:sz w:val="18"/>
                <w:szCs w:val="16"/>
              </w:rPr>
              <w:t>Басра</w:t>
            </w:r>
          </w:p>
        </w:tc>
        <w:tc>
          <w:tcPr>
            <w:tcW w:w="1260" w:type="dxa"/>
            <w:shd w:val="pct5" w:color="000000" w:fill="FFFFFF"/>
            <w:vAlign w:val="center"/>
          </w:tcPr>
          <w:p w14:paraId="30964134" w14:textId="77777777" w:rsidR="00CD484C" w:rsidRDefault="00CD484C">
            <w:pPr>
              <w:jc w:val="center"/>
              <w:rPr>
                <w:sz w:val="18"/>
                <w:szCs w:val="16"/>
              </w:rPr>
            </w:pPr>
            <w:r>
              <w:rPr>
                <w:sz w:val="18"/>
                <w:szCs w:val="16"/>
              </w:rPr>
              <w:t>1/3,45</w:t>
            </w:r>
          </w:p>
        </w:tc>
        <w:tc>
          <w:tcPr>
            <w:tcW w:w="1225" w:type="dxa"/>
            <w:shd w:val="pct5" w:color="000000" w:fill="FFFFFF"/>
            <w:vAlign w:val="center"/>
          </w:tcPr>
          <w:p w14:paraId="0F504208" w14:textId="77777777" w:rsidR="00CD484C" w:rsidRDefault="00CD484C">
            <w:pPr>
              <w:ind w:hanging="21"/>
              <w:jc w:val="center"/>
              <w:rPr>
                <w:sz w:val="18"/>
                <w:szCs w:val="16"/>
              </w:rPr>
            </w:pPr>
            <w:r>
              <w:rPr>
                <w:sz w:val="18"/>
                <w:szCs w:val="16"/>
              </w:rPr>
              <w:t>2/6,89</w:t>
            </w:r>
          </w:p>
        </w:tc>
        <w:tc>
          <w:tcPr>
            <w:tcW w:w="1131" w:type="dxa"/>
            <w:shd w:val="pct5" w:color="000000" w:fill="FFFFFF"/>
            <w:vAlign w:val="center"/>
          </w:tcPr>
          <w:p w14:paraId="1501F417" w14:textId="77777777" w:rsidR="00CD484C" w:rsidRDefault="00CD484C">
            <w:pPr>
              <w:jc w:val="center"/>
              <w:rPr>
                <w:sz w:val="18"/>
                <w:szCs w:val="16"/>
              </w:rPr>
            </w:pPr>
            <w:r>
              <w:rPr>
                <w:sz w:val="18"/>
                <w:szCs w:val="16"/>
              </w:rPr>
              <w:t>1/3,45</w:t>
            </w:r>
          </w:p>
        </w:tc>
        <w:tc>
          <w:tcPr>
            <w:tcW w:w="1244" w:type="dxa"/>
            <w:shd w:val="pct5" w:color="000000" w:fill="FFFFFF"/>
            <w:vAlign w:val="center"/>
          </w:tcPr>
          <w:p w14:paraId="06FDDF44" w14:textId="77777777" w:rsidR="00CD484C" w:rsidRDefault="00CD484C">
            <w:pPr>
              <w:jc w:val="center"/>
              <w:rPr>
                <w:sz w:val="18"/>
                <w:szCs w:val="16"/>
              </w:rPr>
            </w:pPr>
            <w:r>
              <w:rPr>
                <w:sz w:val="18"/>
                <w:szCs w:val="16"/>
              </w:rPr>
              <w:t>2/6,89</w:t>
            </w:r>
          </w:p>
        </w:tc>
      </w:tr>
      <w:tr w:rsidR="00CD484C" w14:paraId="27707A39" w14:textId="77777777">
        <w:trPr>
          <w:trHeight w:val="261"/>
          <w:jc w:val="center"/>
        </w:trPr>
        <w:tc>
          <w:tcPr>
            <w:tcW w:w="2841" w:type="dxa"/>
            <w:gridSpan w:val="2"/>
            <w:shd w:val="pct20" w:color="000000" w:fill="FFFFFF"/>
            <w:vAlign w:val="center"/>
          </w:tcPr>
          <w:p w14:paraId="22AF92D8" w14:textId="77777777" w:rsidR="00CD484C" w:rsidRDefault="00CD484C">
            <w:pPr>
              <w:jc w:val="both"/>
              <w:rPr>
                <w:b/>
                <w:i/>
                <w:sz w:val="18"/>
                <w:szCs w:val="16"/>
              </w:rPr>
            </w:pPr>
            <w:r>
              <w:rPr>
                <w:b/>
                <w:i/>
                <w:sz w:val="18"/>
                <w:szCs w:val="16"/>
              </w:rPr>
              <w:t xml:space="preserve">Мадинат-ас-Салам </w:t>
            </w:r>
          </w:p>
        </w:tc>
        <w:tc>
          <w:tcPr>
            <w:tcW w:w="1225" w:type="dxa"/>
            <w:shd w:val="pct20" w:color="000000" w:fill="FFFFFF"/>
            <w:vAlign w:val="center"/>
          </w:tcPr>
          <w:p w14:paraId="44A12EC0" w14:textId="77777777" w:rsidR="00CD484C" w:rsidRDefault="00CD484C">
            <w:pPr>
              <w:ind w:hanging="21"/>
              <w:jc w:val="center"/>
              <w:rPr>
                <w:sz w:val="18"/>
                <w:szCs w:val="16"/>
              </w:rPr>
            </w:pPr>
            <w:r>
              <w:rPr>
                <w:sz w:val="18"/>
                <w:szCs w:val="16"/>
              </w:rPr>
              <w:t>1/3,45</w:t>
            </w:r>
          </w:p>
        </w:tc>
        <w:tc>
          <w:tcPr>
            <w:tcW w:w="1131" w:type="dxa"/>
            <w:shd w:val="pct20" w:color="000000" w:fill="FFFFFF"/>
            <w:vAlign w:val="center"/>
          </w:tcPr>
          <w:p w14:paraId="768B641F" w14:textId="77777777" w:rsidR="00CD484C" w:rsidRDefault="00CD484C">
            <w:pPr>
              <w:jc w:val="center"/>
              <w:rPr>
                <w:sz w:val="18"/>
                <w:szCs w:val="16"/>
              </w:rPr>
            </w:pPr>
            <w:r>
              <w:rPr>
                <w:sz w:val="18"/>
                <w:szCs w:val="16"/>
              </w:rPr>
              <w:t>7/24,14</w:t>
            </w:r>
          </w:p>
        </w:tc>
        <w:tc>
          <w:tcPr>
            <w:tcW w:w="1244" w:type="dxa"/>
            <w:shd w:val="pct20" w:color="000000" w:fill="FFFFFF"/>
            <w:vAlign w:val="center"/>
          </w:tcPr>
          <w:p w14:paraId="5C8CFA70" w14:textId="77777777" w:rsidR="00CD484C" w:rsidRDefault="00CD484C">
            <w:pPr>
              <w:jc w:val="center"/>
              <w:rPr>
                <w:sz w:val="18"/>
                <w:szCs w:val="16"/>
              </w:rPr>
            </w:pPr>
            <w:r>
              <w:rPr>
                <w:sz w:val="18"/>
                <w:szCs w:val="16"/>
              </w:rPr>
              <w:t>3/10,34</w:t>
            </w:r>
          </w:p>
        </w:tc>
      </w:tr>
      <w:tr w:rsidR="00CD484C" w14:paraId="0CC8252C" w14:textId="77777777">
        <w:trPr>
          <w:trHeight w:val="261"/>
          <w:jc w:val="center"/>
        </w:trPr>
        <w:tc>
          <w:tcPr>
            <w:tcW w:w="1581" w:type="dxa"/>
            <w:shd w:val="pct5" w:color="000000" w:fill="FFFFFF"/>
            <w:vAlign w:val="center"/>
          </w:tcPr>
          <w:p w14:paraId="210DA6E3" w14:textId="77777777" w:rsidR="00CD484C" w:rsidRDefault="00CD484C">
            <w:pPr>
              <w:jc w:val="both"/>
              <w:rPr>
                <w:b/>
                <w:i/>
                <w:sz w:val="18"/>
                <w:szCs w:val="16"/>
              </w:rPr>
            </w:pPr>
            <w:r>
              <w:rPr>
                <w:b/>
                <w:i/>
                <w:sz w:val="18"/>
                <w:szCs w:val="16"/>
              </w:rPr>
              <w:t>Аббасия</w:t>
            </w:r>
          </w:p>
        </w:tc>
        <w:tc>
          <w:tcPr>
            <w:tcW w:w="1260" w:type="dxa"/>
            <w:shd w:val="pct5" w:color="000000" w:fill="FFFFFF"/>
            <w:vAlign w:val="center"/>
          </w:tcPr>
          <w:p w14:paraId="23C82590" w14:textId="77777777" w:rsidR="00CD484C" w:rsidRDefault="00CD484C">
            <w:pPr>
              <w:jc w:val="both"/>
              <w:rPr>
                <w:sz w:val="18"/>
                <w:szCs w:val="16"/>
              </w:rPr>
            </w:pPr>
          </w:p>
        </w:tc>
        <w:tc>
          <w:tcPr>
            <w:tcW w:w="1225" w:type="dxa"/>
            <w:shd w:val="pct5" w:color="000000" w:fill="FFFFFF"/>
            <w:vAlign w:val="center"/>
          </w:tcPr>
          <w:p w14:paraId="5055C9A5" w14:textId="77777777" w:rsidR="00CD484C" w:rsidRDefault="00CD484C">
            <w:pPr>
              <w:ind w:hanging="21"/>
              <w:jc w:val="both"/>
              <w:rPr>
                <w:sz w:val="18"/>
                <w:szCs w:val="16"/>
              </w:rPr>
            </w:pPr>
          </w:p>
        </w:tc>
        <w:tc>
          <w:tcPr>
            <w:tcW w:w="1131" w:type="dxa"/>
            <w:shd w:val="pct5" w:color="000000" w:fill="FFFFFF"/>
            <w:vAlign w:val="center"/>
          </w:tcPr>
          <w:p w14:paraId="0625B1F6" w14:textId="77777777" w:rsidR="00CD484C" w:rsidRDefault="00CD484C">
            <w:pPr>
              <w:jc w:val="center"/>
              <w:rPr>
                <w:sz w:val="18"/>
                <w:szCs w:val="16"/>
              </w:rPr>
            </w:pPr>
            <w:r>
              <w:rPr>
                <w:sz w:val="18"/>
                <w:szCs w:val="16"/>
              </w:rPr>
              <w:t>1/3,45</w:t>
            </w:r>
          </w:p>
        </w:tc>
        <w:tc>
          <w:tcPr>
            <w:tcW w:w="1244" w:type="dxa"/>
            <w:shd w:val="pct5" w:color="000000" w:fill="FFFFFF"/>
            <w:vAlign w:val="center"/>
          </w:tcPr>
          <w:p w14:paraId="6F28D6DF" w14:textId="77777777" w:rsidR="00CD484C" w:rsidRDefault="00CD484C">
            <w:pPr>
              <w:jc w:val="center"/>
              <w:rPr>
                <w:sz w:val="18"/>
                <w:szCs w:val="16"/>
              </w:rPr>
            </w:pPr>
            <w:r>
              <w:rPr>
                <w:sz w:val="18"/>
                <w:szCs w:val="16"/>
              </w:rPr>
              <w:t>2/6,89</w:t>
            </w:r>
          </w:p>
        </w:tc>
      </w:tr>
      <w:tr w:rsidR="00CD484C" w14:paraId="1C74792F" w14:textId="77777777">
        <w:trPr>
          <w:trHeight w:val="261"/>
          <w:jc w:val="center"/>
        </w:trPr>
        <w:tc>
          <w:tcPr>
            <w:tcW w:w="1581" w:type="dxa"/>
            <w:shd w:val="pct20" w:color="000000" w:fill="FFFFFF"/>
            <w:vAlign w:val="center"/>
          </w:tcPr>
          <w:p w14:paraId="7546BBB5" w14:textId="77777777" w:rsidR="00CD484C" w:rsidRDefault="00CD484C">
            <w:pPr>
              <w:jc w:val="both"/>
              <w:rPr>
                <w:b/>
                <w:i/>
                <w:sz w:val="18"/>
                <w:szCs w:val="16"/>
              </w:rPr>
            </w:pPr>
            <w:r>
              <w:rPr>
                <w:b/>
                <w:i/>
                <w:sz w:val="18"/>
                <w:szCs w:val="16"/>
              </w:rPr>
              <w:t>Арминия</w:t>
            </w:r>
          </w:p>
        </w:tc>
        <w:tc>
          <w:tcPr>
            <w:tcW w:w="1260" w:type="dxa"/>
            <w:shd w:val="pct20" w:color="000000" w:fill="FFFFFF"/>
            <w:vAlign w:val="center"/>
          </w:tcPr>
          <w:p w14:paraId="359C0DD5" w14:textId="77777777" w:rsidR="00CD484C" w:rsidRDefault="00CD484C">
            <w:pPr>
              <w:jc w:val="both"/>
              <w:rPr>
                <w:sz w:val="18"/>
                <w:szCs w:val="16"/>
              </w:rPr>
            </w:pPr>
          </w:p>
        </w:tc>
        <w:tc>
          <w:tcPr>
            <w:tcW w:w="1225" w:type="dxa"/>
            <w:shd w:val="pct20" w:color="000000" w:fill="FFFFFF"/>
            <w:vAlign w:val="center"/>
          </w:tcPr>
          <w:p w14:paraId="3ECB809E" w14:textId="77777777" w:rsidR="00CD484C" w:rsidRDefault="00CD484C">
            <w:pPr>
              <w:ind w:hanging="21"/>
              <w:jc w:val="both"/>
              <w:rPr>
                <w:sz w:val="18"/>
                <w:szCs w:val="16"/>
              </w:rPr>
            </w:pPr>
          </w:p>
        </w:tc>
        <w:tc>
          <w:tcPr>
            <w:tcW w:w="1131" w:type="dxa"/>
            <w:shd w:val="pct20" w:color="000000" w:fill="FFFFFF"/>
            <w:vAlign w:val="center"/>
          </w:tcPr>
          <w:p w14:paraId="2011F7E1" w14:textId="77777777" w:rsidR="00CD484C" w:rsidRDefault="00CD484C">
            <w:pPr>
              <w:jc w:val="center"/>
              <w:rPr>
                <w:sz w:val="18"/>
                <w:szCs w:val="16"/>
              </w:rPr>
            </w:pPr>
          </w:p>
        </w:tc>
        <w:tc>
          <w:tcPr>
            <w:tcW w:w="1244" w:type="dxa"/>
            <w:shd w:val="pct20" w:color="000000" w:fill="FFFFFF"/>
            <w:vAlign w:val="center"/>
          </w:tcPr>
          <w:p w14:paraId="6C5F3B57" w14:textId="77777777" w:rsidR="00CD484C" w:rsidRDefault="00CD484C">
            <w:pPr>
              <w:jc w:val="center"/>
              <w:rPr>
                <w:sz w:val="18"/>
                <w:szCs w:val="16"/>
              </w:rPr>
            </w:pPr>
            <w:r>
              <w:rPr>
                <w:sz w:val="18"/>
                <w:szCs w:val="16"/>
              </w:rPr>
              <w:t>1/3,45</w:t>
            </w:r>
          </w:p>
        </w:tc>
      </w:tr>
      <w:tr w:rsidR="00CD484C" w14:paraId="539BFF0B" w14:textId="77777777">
        <w:trPr>
          <w:trHeight w:val="261"/>
          <w:jc w:val="center"/>
        </w:trPr>
        <w:tc>
          <w:tcPr>
            <w:tcW w:w="2841" w:type="dxa"/>
            <w:gridSpan w:val="2"/>
            <w:shd w:val="pct5" w:color="000000" w:fill="FFFFFF"/>
            <w:vAlign w:val="center"/>
          </w:tcPr>
          <w:p w14:paraId="3B59CE3A" w14:textId="77777777" w:rsidR="00CD484C" w:rsidRDefault="00CD484C">
            <w:pPr>
              <w:jc w:val="both"/>
              <w:rPr>
                <w:b/>
                <w:i/>
                <w:sz w:val="18"/>
                <w:szCs w:val="16"/>
              </w:rPr>
            </w:pPr>
            <w:r>
              <w:rPr>
                <w:b/>
                <w:i/>
                <w:sz w:val="18"/>
                <w:szCs w:val="16"/>
              </w:rPr>
              <w:t>Мухамадия</w:t>
            </w:r>
          </w:p>
        </w:tc>
        <w:tc>
          <w:tcPr>
            <w:tcW w:w="1225" w:type="dxa"/>
            <w:shd w:val="pct5" w:color="000000" w:fill="FFFFFF"/>
            <w:vAlign w:val="center"/>
          </w:tcPr>
          <w:p w14:paraId="7F494BDA" w14:textId="77777777" w:rsidR="00CD484C" w:rsidRDefault="00CD484C">
            <w:pPr>
              <w:ind w:hanging="21"/>
              <w:jc w:val="both"/>
              <w:rPr>
                <w:sz w:val="18"/>
                <w:szCs w:val="16"/>
              </w:rPr>
            </w:pPr>
          </w:p>
        </w:tc>
        <w:tc>
          <w:tcPr>
            <w:tcW w:w="1131" w:type="dxa"/>
            <w:shd w:val="pct5" w:color="000000" w:fill="FFFFFF"/>
            <w:vAlign w:val="center"/>
          </w:tcPr>
          <w:p w14:paraId="39EFE0A8" w14:textId="77777777" w:rsidR="00CD484C" w:rsidRDefault="00CD484C">
            <w:pPr>
              <w:jc w:val="center"/>
              <w:rPr>
                <w:sz w:val="18"/>
                <w:szCs w:val="16"/>
              </w:rPr>
            </w:pPr>
          </w:p>
        </w:tc>
        <w:tc>
          <w:tcPr>
            <w:tcW w:w="1244" w:type="dxa"/>
            <w:shd w:val="pct5" w:color="000000" w:fill="FFFFFF"/>
            <w:vAlign w:val="center"/>
          </w:tcPr>
          <w:p w14:paraId="428A6D9D" w14:textId="77777777" w:rsidR="00CD484C" w:rsidRDefault="00CD484C">
            <w:pPr>
              <w:jc w:val="center"/>
              <w:rPr>
                <w:sz w:val="18"/>
                <w:szCs w:val="16"/>
              </w:rPr>
            </w:pPr>
            <w:r>
              <w:rPr>
                <w:sz w:val="18"/>
                <w:szCs w:val="16"/>
              </w:rPr>
              <w:t>1/3,45</w:t>
            </w:r>
          </w:p>
        </w:tc>
      </w:tr>
      <w:tr w:rsidR="00CD484C" w14:paraId="0F0C39C8" w14:textId="77777777">
        <w:trPr>
          <w:trHeight w:val="261"/>
          <w:jc w:val="center"/>
        </w:trPr>
        <w:tc>
          <w:tcPr>
            <w:tcW w:w="1581" w:type="dxa"/>
            <w:shd w:val="pct20" w:color="000000" w:fill="FFFFFF"/>
            <w:vAlign w:val="center"/>
          </w:tcPr>
          <w:p w14:paraId="22942F20" w14:textId="77777777" w:rsidR="00CD484C" w:rsidRDefault="00CD484C">
            <w:pPr>
              <w:jc w:val="both"/>
              <w:rPr>
                <w:b/>
                <w:i/>
                <w:sz w:val="18"/>
                <w:szCs w:val="16"/>
              </w:rPr>
            </w:pPr>
            <w:r>
              <w:rPr>
                <w:b/>
                <w:i/>
                <w:sz w:val="18"/>
                <w:szCs w:val="16"/>
              </w:rPr>
              <w:t>Ифрикийа</w:t>
            </w:r>
          </w:p>
        </w:tc>
        <w:tc>
          <w:tcPr>
            <w:tcW w:w="1260" w:type="dxa"/>
            <w:shd w:val="pct20" w:color="000000" w:fill="FFFFFF"/>
            <w:vAlign w:val="center"/>
          </w:tcPr>
          <w:p w14:paraId="29E0A835" w14:textId="77777777" w:rsidR="00CD484C" w:rsidRDefault="00CD484C">
            <w:pPr>
              <w:jc w:val="both"/>
              <w:rPr>
                <w:sz w:val="18"/>
                <w:szCs w:val="16"/>
              </w:rPr>
            </w:pPr>
          </w:p>
        </w:tc>
        <w:tc>
          <w:tcPr>
            <w:tcW w:w="1225" w:type="dxa"/>
            <w:shd w:val="pct20" w:color="000000" w:fill="FFFFFF"/>
            <w:vAlign w:val="center"/>
          </w:tcPr>
          <w:p w14:paraId="2AA1BAF8" w14:textId="77777777" w:rsidR="00CD484C" w:rsidRDefault="00CD484C">
            <w:pPr>
              <w:ind w:hanging="21"/>
              <w:jc w:val="both"/>
              <w:rPr>
                <w:sz w:val="18"/>
                <w:szCs w:val="16"/>
              </w:rPr>
            </w:pPr>
          </w:p>
        </w:tc>
        <w:tc>
          <w:tcPr>
            <w:tcW w:w="1131" w:type="dxa"/>
            <w:shd w:val="pct20" w:color="000000" w:fill="FFFFFF"/>
            <w:vAlign w:val="center"/>
          </w:tcPr>
          <w:p w14:paraId="198E7B09" w14:textId="77777777" w:rsidR="00CD484C" w:rsidRDefault="00CD484C">
            <w:pPr>
              <w:jc w:val="center"/>
              <w:rPr>
                <w:sz w:val="18"/>
                <w:szCs w:val="16"/>
              </w:rPr>
            </w:pPr>
          </w:p>
        </w:tc>
        <w:tc>
          <w:tcPr>
            <w:tcW w:w="1244" w:type="dxa"/>
            <w:shd w:val="pct20" w:color="000000" w:fill="FFFFFF"/>
            <w:vAlign w:val="center"/>
          </w:tcPr>
          <w:p w14:paraId="0A12D1ED" w14:textId="77777777" w:rsidR="00CD484C" w:rsidRDefault="00CD484C">
            <w:pPr>
              <w:jc w:val="center"/>
              <w:rPr>
                <w:sz w:val="18"/>
                <w:szCs w:val="16"/>
              </w:rPr>
            </w:pPr>
            <w:r>
              <w:rPr>
                <w:sz w:val="18"/>
                <w:szCs w:val="16"/>
              </w:rPr>
              <w:t>5/17,24</w:t>
            </w:r>
          </w:p>
        </w:tc>
      </w:tr>
      <w:tr w:rsidR="00CD484C" w14:paraId="36097650" w14:textId="77777777">
        <w:trPr>
          <w:trHeight w:val="271"/>
          <w:jc w:val="center"/>
        </w:trPr>
        <w:tc>
          <w:tcPr>
            <w:tcW w:w="1581" w:type="dxa"/>
            <w:shd w:val="pct5" w:color="000000" w:fill="FFFFFF"/>
            <w:vAlign w:val="center"/>
          </w:tcPr>
          <w:p w14:paraId="63116879" w14:textId="77777777" w:rsidR="00CD484C" w:rsidRDefault="00CD484C">
            <w:pPr>
              <w:jc w:val="both"/>
              <w:rPr>
                <w:b/>
                <w:i/>
                <w:sz w:val="18"/>
                <w:szCs w:val="16"/>
              </w:rPr>
            </w:pPr>
            <w:r>
              <w:rPr>
                <w:sz w:val="18"/>
                <w:szCs w:val="16"/>
              </w:rPr>
              <w:t>:Всего:</w:t>
            </w:r>
          </w:p>
        </w:tc>
        <w:tc>
          <w:tcPr>
            <w:tcW w:w="1260" w:type="dxa"/>
            <w:shd w:val="pct5" w:color="000000" w:fill="FFFFFF"/>
            <w:vAlign w:val="center"/>
          </w:tcPr>
          <w:p w14:paraId="2DE1DA5A" w14:textId="77777777" w:rsidR="00CD484C" w:rsidRDefault="00CD484C">
            <w:pPr>
              <w:jc w:val="center"/>
              <w:rPr>
                <w:sz w:val="18"/>
                <w:szCs w:val="16"/>
              </w:rPr>
            </w:pPr>
            <w:r>
              <w:rPr>
                <w:sz w:val="18"/>
                <w:szCs w:val="16"/>
              </w:rPr>
              <w:t>3/10,35</w:t>
            </w:r>
          </w:p>
        </w:tc>
        <w:tc>
          <w:tcPr>
            <w:tcW w:w="1225" w:type="dxa"/>
            <w:shd w:val="pct5" w:color="000000" w:fill="FFFFFF"/>
            <w:vAlign w:val="center"/>
          </w:tcPr>
          <w:p w14:paraId="4C8273DB" w14:textId="77777777" w:rsidR="00CD484C" w:rsidRDefault="00CD484C">
            <w:pPr>
              <w:ind w:hanging="21"/>
              <w:jc w:val="center"/>
              <w:rPr>
                <w:sz w:val="18"/>
                <w:szCs w:val="16"/>
              </w:rPr>
            </w:pPr>
            <w:r>
              <w:rPr>
                <w:sz w:val="18"/>
                <w:szCs w:val="16"/>
              </w:rPr>
              <w:t>3/10,35</w:t>
            </w:r>
          </w:p>
        </w:tc>
        <w:tc>
          <w:tcPr>
            <w:tcW w:w="1131" w:type="dxa"/>
            <w:shd w:val="pct5" w:color="000000" w:fill="FFFFFF"/>
            <w:vAlign w:val="center"/>
          </w:tcPr>
          <w:p w14:paraId="43A36523" w14:textId="77777777" w:rsidR="00CD484C" w:rsidRDefault="00CD484C">
            <w:pPr>
              <w:jc w:val="center"/>
              <w:rPr>
                <w:sz w:val="18"/>
                <w:szCs w:val="16"/>
              </w:rPr>
            </w:pPr>
            <w:r>
              <w:rPr>
                <w:sz w:val="18"/>
                <w:szCs w:val="16"/>
              </w:rPr>
              <w:t>9/31,04</w:t>
            </w:r>
          </w:p>
        </w:tc>
        <w:tc>
          <w:tcPr>
            <w:tcW w:w="1244" w:type="dxa"/>
            <w:shd w:val="pct5" w:color="000000" w:fill="FFFFFF"/>
            <w:vAlign w:val="center"/>
          </w:tcPr>
          <w:p w14:paraId="6E6BBB9D" w14:textId="77777777" w:rsidR="00CD484C" w:rsidRDefault="00CD484C">
            <w:pPr>
              <w:jc w:val="center"/>
              <w:rPr>
                <w:sz w:val="18"/>
                <w:szCs w:val="16"/>
              </w:rPr>
            </w:pPr>
            <w:r>
              <w:rPr>
                <w:sz w:val="18"/>
                <w:szCs w:val="16"/>
              </w:rPr>
              <w:t>14/48,27</w:t>
            </w:r>
          </w:p>
        </w:tc>
      </w:tr>
      <w:tr w:rsidR="00CD484C" w14:paraId="2796E45C" w14:textId="77777777">
        <w:trPr>
          <w:trHeight w:val="271"/>
          <w:jc w:val="center"/>
        </w:trPr>
        <w:tc>
          <w:tcPr>
            <w:tcW w:w="1581" w:type="dxa"/>
            <w:shd w:val="pct5" w:color="000000" w:fill="FFFFFF"/>
            <w:vAlign w:val="center"/>
          </w:tcPr>
          <w:p w14:paraId="240CB3B4" w14:textId="77777777" w:rsidR="00CD484C" w:rsidRDefault="00CD484C">
            <w:pPr>
              <w:jc w:val="both"/>
              <w:rPr>
                <w:sz w:val="18"/>
                <w:szCs w:val="16"/>
              </w:rPr>
            </w:pPr>
            <w:r>
              <w:rPr>
                <w:sz w:val="18"/>
                <w:szCs w:val="16"/>
              </w:rPr>
              <w:t>Итого:</w:t>
            </w:r>
          </w:p>
        </w:tc>
        <w:tc>
          <w:tcPr>
            <w:tcW w:w="1260" w:type="dxa"/>
            <w:shd w:val="pct5" w:color="000000" w:fill="FFFFFF"/>
            <w:vAlign w:val="center"/>
          </w:tcPr>
          <w:p w14:paraId="1656D5A9" w14:textId="77777777" w:rsidR="00CD484C" w:rsidRDefault="00CD484C">
            <w:pPr>
              <w:jc w:val="center"/>
              <w:rPr>
                <w:sz w:val="18"/>
                <w:szCs w:val="16"/>
              </w:rPr>
            </w:pPr>
          </w:p>
        </w:tc>
        <w:tc>
          <w:tcPr>
            <w:tcW w:w="1225" w:type="dxa"/>
            <w:shd w:val="pct5" w:color="000000" w:fill="FFFFFF"/>
            <w:vAlign w:val="center"/>
          </w:tcPr>
          <w:p w14:paraId="1C4F82FF" w14:textId="77777777" w:rsidR="00CD484C" w:rsidRDefault="00CD484C">
            <w:pPr>
              <w:ind w:hanging="21"/>
              <w:jc w:val="center"/>
              <w:rPr>
                <w:sz w:val="18"/>
                <w:szCs w:val="16"/>
              </w:rPr>
            </w:pPr>
          </w:p>
        </w:tc>
        <w:tc>
          <w:tcPr>
            <w:tcW w:w="1131" w:type="dxa"/>
            <w:shd w:val="pct5" w:color="000000" w:fill="FFFFFF"/>
            <w:vAlign w:val="center"/>
          </w:tcPr>
          <w:p w14:paraId="316138DE" w14:textId="77777777" w:rsidR="00CD484C" w:rsidRDefault="00CD484C">
            <w:pPr>
              <w:jc w:val="center"/>
              <w:rPr>
                <w:sz w:val="18"/>
                <w:szCs w:val="16"/>
              </w:rPr>
            </w:pPr>
          </w:p>
        </w:tc>
        <w:tc>
          <w:tcPr>
            <w:tcW w:w="1244" w:type="dxa"/>
            <w:shd w:val="pct5" w:color="000000" w:fill="FFFFFF"/>
            <w:vAlign w:val="center"/>
          </w:tcPr>
          <w:p w14:paraId="79CF7A61" w14:textId="77777777" w:rsidR="00CD484C" w:rsidRDefault="00CD484C">
            <w:pPr>
              <w:jc w:val="center"/>
              <w:rPr>
                <w:sz w:val="18"/>
                <w:szCs w:val="16"/>
              </w:rPr>
            </w:pPr>
            <w:r>
              <w:rPr>
                <w:sz w:val="18"/>
                <w:szCs w:val="16"/>
              </w:rPr>
              <w:t>29/100%</w:t>
            </w:r>
          </w:p>
        </w:tc>
      </w:tr>
    </w:tbl>
    <w:p w14:paraId="62C3607B" w14:textId="77777777" w:rsidR="00CD484C" w:rsidRDefault="00CD484C">
      <w:pPr>
        <w:jc w:val="both"/>
        <w:rPr>
          <w:sz w:val="18"/>
          <w:szCs w:val="16"/>
        </w:rPr>
      </w:pPr>
    </w:p>
    <w:p w14:paraId="7C593E53" w14:textId="77777777" w:rsidR="00CD484C" w:rsidRDefault="00CD484C">
      <w:pPr>
        <w:jc w:val="both"/>
        <w:rPr>
          <w:sz w:val="18"/>
          <w:szCs w:val="16"/>
        </w:rPr>
      </w:pPr>
      <w:r>
        <w:rPr>
          <w:sz w:val="18"/>
          <w:szCs w:val="16"/>
        </w:rPr>
        <w:t>*В числителе – число монет, в знаменателе его процентное соотношение.</w:t>
      </w:r>
    </w:p>
    <w:p w14:paraId="06B8E8B9" w14:textId="77777777" w:rsidR="00CD484C" w:rsidRDefault="00CD484C">
      <w:pPr>
        <w:ind w:firstLine="397"/>
        <w:jc w:val="both"/>
        <w:rPr>
          <w:sz w:val="20"/>
          <w:szCs w:val="16"/>
        </w:rPr>
      </w:pPr>
    </w:p>
    <w:p w14:paraId="7EC4AA57" w14:textId="77777777" w:rsidR="00CD484C" w:rsidRDefault="00CD484C">
      <w:pPr>
        <w:ind w:firstLine="397"/>
        <w:jc w:val="both"/>
        <w:rPr>
          <w:sz w:val="20"/>
          <w:szCs w:val="16"/>
        </w:rPr>
      </w:pPr>
      <w:r>
        <w:rPr>
          <w:sz w:val="20"/>
          <w:szCs w:val="16"/>
        </w:rPr>
        <w:t>Клад 1892 г. имеет 5 младших монет /ММ/, отчеканенных в африканских провинциях Халифата. Они входят в хронологически обособленную группу монет, позволяющие предположить о самостоятельном следовании средиземноморских дирхемов в трансконтинентальном монетном потоке. Их доля в кладе, что известно специалистам, представлена 27,58%, тогда как в младшей ХГ дирхемы Ифрикийи и Аббасии составляют 57,14%.</w:t>
      </w:r>
    </w:p>
    <w:p w14:paraId="59C7C117" w14:textId="77777777" w:rsidR="00CD484C" w:rsidRDefault="00CD484C">
      <w:pPr>
        <w:ind w:firstLine="397"/>
        <w:jc w:val="both"/>
        <w:rPr>
          <w:sz w:val="20"/>
          <w:szCs w:val="16"/>
        </w:rPr>
      </w:pPr>
      <w:r>
        <w:rPr>
          <w:sz w:val="20"/>
          <w:szCs w:val="16"/>
        </w:rPr>
        <w:t>В Закавказье зафиксировано 5 кладов с датой ММ 770-х – 790-х гг. (Фомин А.В., 1982, приложение; 1988, с.120, табл.7; Пахомов, 1954. – С. 44–48). Развивая традиции регистрации кладов и монетных находок на территории Средней Азии, начатой М.Е. Массоном, Е.А. Давидович, в частности, привела эмиссионное распределение самого, пожалуй, восточного клада с куфическими монетами, происходящего из Южного Таджикистана, с датой ММ 133/750 г., 180 экземпляров которого отчеканены на монетных дворах Ардашир-Хурре, Арминия, Истахр, Басра, Теймера, Джуида-Сабур, Дарабджерд, Дастува, Димишк, Седжестан, Саррак, Сус, Сук-ал Ахваз, Керман, Куфа, Махи, Меназир, Мерв, Тира, Васит (Давидович Е.А., 1969. – С. 111, № 2).</w:t>
      </w:r>
    </w:p>
    <w:p w14:paraId="5F47885D" w14:textId="77777777" w:rsidR="00CD484C" w:rsidRDefault="00CD484C">
      <w:pPr>
        <w:ind w:firstLine="397"/>
        <w:jc w:val="both"/>
        <w:rPr>
          <w:sz w:val="20"/>
          <w:szCs w:val="16"/>
        </w:rPr>
      </w:pPr>
      <w:r>
        <w:rPr>
          <w:sz w:val="20"/>
          <w:szCs w:val="16"/>
        </w:rPr>
        <w:t xml:space="preserve">Дискуссионное в нумизматической литературе Закавказья вопрос о характере обращения и формирование кладов сасанидской и куфической монеты, вероятно, следует решать на основе  изучения монетных потоков, при том следует иметь ввиду то обстоятельство, что, согласно Фомину (1988б. – С. 110–112), основывающемуся на статистике кладов восточных монет данного региона весь импульс чеканки 70-х гг. VIII в. выпал в Закавказье. Именно со второй половины VIII в. на азербайджанские рынки куфическое </w:t>
      </w:r>
      <w:r>
        <w:rPr>
          <w:sz w:val="20"/>
          <w:szCs w:val="16"/>
        </w:rPr>
        <w:lastRenderedPageBreak/>
        <w:t xml:space="preserve">серебро стало поступать из двух областей – Армении и Ирана, причем, не прямо, а через внешнюю торговлю (Алиев З.М., 1990. – С. 23). </w:t>
      </w:r>
    </w:p>
    <w:p w14:paraId="56473F09" w14:textId="77777777" w:rsidR="00CD484C" w:rsidRDefault="00CD484C">
      <w:pPr>
        <w:ind w:firstLine="397"/>
        <w:jc w:val="both"/>
        <w:rPr>
          <w:sz w:val="20"/>
          <w:szCs w:val="16"/>
        </w:rPr>
      </w:pPr>
      <w:r>
        <w:rPr>
          <w:sz w:val="20"/>
          <w:szCs w:val="16"/>
        </w:rPr>
        <w:t xml:space="preserve">Таким образом, изучение процесса становления денежного обращения на земле восточных славян может продолжиться как на основе кладов, выпавших в конце VIII в. на Кавказе, так и изучение соответствующих хроногрруп ранних кладов, происходящих как с территории Восточной Европы, так и в циркумбалтийской зоне с учетом их эмиссионного распределения. </w:t>
      </w:r>
    </w:p>
    <w:p w14:paraId="064A21A7" w14:textId="77777777" w:rsidR="00CD484C" w:rsidRDefault="00CD484C">
      <w:pPr>
        <w:ind w:firstLine="397"/>
        <w:jc w:val="both"/>
        <w:rPr>
          <w:sz w:val="20"/>
          <w:szCs w:val="16"/>
        </w:rPr>
      </w:pPr>
      <w:r>
        <w:rPr>
          <w:sz w:val="20"/>
          <w:szCs w:val="16"/>
        </w:rPr>
        <w:t>Памятуя о том, что первая резиденция Рюрика находилась на Старой Ладоге, клад, состоящий из 28 монет и 3 обломков, является не только памятником древнерусского денежного обращения. Его появление здесь глубоко символично, оно свидетельствует о начале финансовой системы нарождающегося Древнерусского государства – Империи Рюриковичей. «Держава Рюрика сформировалась на подготовленной почве, – пишет А.Н. Кирпичников (2002. – С. 42 спр.)</w:t>
      </w:r>
      <w:r>
        <w:rPr>
          <w:rStyle w:val="a6"/>
          <w:sz w:val="20"/>
          <w:szCs w:val="16"/>
        </w:rPr>
        <w:footnoteReference w:customMarkFollows="1" w:id="11"/>
        <w:t>11</w:t>
      </w:r>
      <w:r>
        <w:rPr>
          <w:sz w:val="20"/>
          <w:szCs w:val="16"/>
        </w:rPr>
        <w:t>. Необходимо отметить, что согласно недавно высказанному мнению С.М. Каштанова, данный памятник, как источник дает более раннюю дату сбора дани, чем начало торговли мехами, получившей широкий размах с 70-х – 80-х годов VIII в.</w:t>
      </w:r>
      <w:r>
        <w:rPr>
          <w:rStyle w:val="a6"/>
          <w:sz w:val="20"/>
          <w:szCs w:val="16"/>
        </w:rPr>
        <w:footnoteReference w:customMarkFollows="1" w:id="12"/>
        <w:t>12</w:t>
      </w:r>
      <w:r>
        <w:rPr>
          <w:sz w:val="20"/>
          <w:szCs w:val="16"/>
        </w:rPr>
        <w:t xml:space="preserve"> (Каштанов С.М., 2003. – С. 75–76), актуализировав, тем самым, мысль экономического философа Ф.А. Хайека, утверждавшего, что деньги являются непременным атрибутом цивилизации, возникающий еще до самоорганизации общества ввиде такого политического института как государство (Хайек Ф., 1996. – С. 67).</w:t>
      </w:r>
    </w:p>
    <w:p w14:paraId="64F9ADED" w14:textId="0D3D2FBF" w:rsidR="00CD484C" w:rsidRDefault="00CD484C">
      <w:pPr>
        <w:ind w:firstLine="397"/>
        <w:jc w:val="both"/>
        <w:rPr>
          <w:sz w:val="20"/>
          <w:szCs w:val="16"/>
        </w:rPr>
      </w:pPr>
      <w:r>
        <w:rPr>
          <w:sz w:val="20"/>
          <w:szCs w:val="16"/>
        </w:rPr>
        <w:t>Интересно, что клад связан с первым, зафиксированным всплеском чеканки, приходящейся на 70-е годы VIII в. (Фомин А.В., 1982. – С. 17, рис. 2), в составе которого монеты, выпущенные в это десятилетие составляют 41,8% (Янин В.Л., 1956. Табл. 1, 1), что случайным не является, как не является случайным и то, что староладожский клад выпал также «среднестатистически» (Фомин 1982, рис. 5, «С»). Примером тому явля</w:t>
      </w:r>
      <w:r w:rsidR="00395416">
        <w:rPr>
          <w:noProof/>
          <w:sz w:val="20"/>
          <w:szCs w:val="16"/>
        </w:rPr>
        <mc:AlternateContent>
          <mc:Choice Requires="wps">
            <w:drawing>
              <wp:anchor distT="0" distB="0" distL="114300" distR="114300" simplePos="0" relativeHeight="251628032" behindDoc="0" locked="1" layoutInCell="1" allowOverlap="1" wp14:anchorId="08323073" wp14:editId="0063BC58">
                <wp:simplePos x="0" y="0"/>
                <wp:positionH relativeFrom="column">
                  <wp:posOffset>0</wp:posOffset>
                </wp:positionH>
                <wp:positionV relativeFrom="paragraph">
                  <wp:posOffset>-252730</wp:posOffset>
                </wp:positionV>
                <wp:extent cx="4095750" cy="186690"/>
                <wp:effectExtent l="0" t="1905" r="3810" b="1905"/>
                <wp:wrapNone/>
                <wp:docPr id="41951406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8D5063"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4551BA0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23073" id="Text Box 180" o:spid="_x0000_s1034" type="#_x0000_t202" style="position:absolute;left:0;text-align:left;margin-left:0;margin-top:-19.9pt;width:322.5pt;height:14.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j2ylh7wEAAMEDAAAOAAAAAAAAAAAAAAAAAC4CAABkcnMvZTJv&#10;RG9jLnhtbFBLAQItABQABgAIAAAAIQCnTgMH3gAAAAgBAAAPAAAAAAAAAAAAAAAAAEkEAABkcnMv&#10;ZG93bnJldi54bWxQSwUGAAAAAAQABADzAAAAVAUAAAAA&#10;" stroked="f">
                <v:textbox inset="0,0,0,0">
                  <w:txbxContent>
                    <w:p w14:paraId="218D5063"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4551BA09" w14:textId="77777777" w:rsidR="00AE2133" w:rsidRDefault="00AE2133">
                      <w:pPr>
                        <w:rPr>
                          <w:b/>
                          <w:bCs/>
                          <w:sz w:val="2"/>
                          <w:u w:val="single"/>
                        </w:rPr>
                      </w:pPr>
                    </w:p>
                  </w:txbxContent>
                </v:textbox>
                <w10:anchorlock/>
              </v:shape>
            </w:pict>
          </mc:Fallback>
        </mc:AlternateContent>
      </w:r>
      <w:r>
        <w:rPr>
          <w:sz w:val="20"/>
          <w:szCs w:val="16"/>
        </w:rPr>
        <w:t xml:space="preserve">ется небольшой клад, найденный в устье Волхова в 1875 г., имеющий мл.монету 172/788 г. чекан Багдада (Марков А.К., 1910. – С. 31. № 188). Ввоз монет в Европу на первом этапе распространения дирхема был тесно связан с импульсами халифатской чеканки, что отмечено для 770-х, 800-х, 820-х годах (Фомин А.В., 1982. – С. 16–17), что получило одобрение археологов (Кирпичников А.Н., 2002. – С. 50 сл.). Сокрытие клада 1892 г., как показывают </w:t>
      </w:r>
      <w:r>
        <w:rPr>
          <w:sz w:val="20"/>
          <w:szCs w:val="16"/>
        </w:rPr>
        <w:lastRenderedPageBreak/>
        <w:t>последние исследования, связано с материалами II яруса Земляного городища, находки с которого позволяют судить о тесных связях с Востоком (Кузьмин С.Л., 2000. – С. 64).</w:t>
      </w:r>
    </w:p>
    <w:p w14:paraId="59924805" w14:textId="77777777" w:rsidR="00CD484C" w:rsidRDefault="00CD484C">
      <w:pPr>
        <w:ind w:firstLine="397"/>
        <w:jc w:val="both"/>
        <w:rPr>
          <w:spacing w:val="-2"/>
          <w:sz w:val="20"/>
          <w:szCs w:val="16"/>
        </w:rPr>
      </w:pPr>
      <w:r>
        <w:rPr>
          <w:spacing w:val="-2"/>
          <w:sz w:val="20"/>
          <w:szCs w:val="16"/>
        </w:rPr>
        <w:t>Династийный состав этого памятника в отличие от всех других кладов, выпавших на территории Восточной Европы, полностью соответствует хронологическому составу – его 100% монет выпущены Аббасидами (Янин В.Л., 1956. Табл. 2, 1), что выглядит естественным для клада со столь ранней датой ММ. Монеты 70–80-х гг. Староладожского клада успешно преодолевали Камско-Северодвинский водораздел, не являвшимся,  вообщем-то, «большим волоком». Из Камского бассейна в бассейн рек Сев.Двины – Вычегды и Сухоны – можно было попасть, воспользовавшись четырьмя волоками (Захаров Д.М., 1990. – С. 119–137). Раскопки Э.А. Савельевой и исследования Б.И. Маршака показывают, что позднесасанидские монеты и изделия восточных торевтов  редкостью для населения Повычегодья не были. Географическая и топографическая локализация Староладожского клада свидетельствует не о завершении в данном пункте земного шара трансконтинентального пути, а наоборот, как о стартовой площадке халифатских монет в циркумбалтийской зоне, что, впрочем, не могло превышать промежуток времени,  превышающий трети века, на это наталкивает наблюдение В.Л. Янина, согласно которому «в кладах 20-х гг. IX  в. явно преобладают монеты 770–800 гг.» (Янин В.Л., 1956. – С. 68).</w:t>
      </w:r>
    </w:p>
    <w:p w14:paraId="5BE1C95F" w14:textId="77777777" w:rsidR="00CD484C" w:rsidRDefault="00CD484C">
      <w:pPr>
        <w:ind w:firstLine="397"/>
        <w:jc w:val="both"/>
        <w:rPr>
          <w:sz w:val="20"/>
          <w:szCs w:val="16"/>
        </w:rPr>
      </w:pPr>
      <w:r>
        <w:rPr>
          <w:sz w:val="20"/>
          <w:szCs w:val="16"/>
        </w:rPr>
        <w:t>Дальнейшее перетекание элитного металла в циркумбалтийскую зону, замечает Г.С. Лебедев, явилось одним из внешних факторов динамичного развития скандинавских виков,  т.е. в конце VIII – начале IX в. именно на Старой Ладоге смыкаются две ветви балтийской торговли западная и восточная, образуя уникальный в своем роде «серебряный мост», связавший  пространство от Британии на западе до Прикамья на востоке (Лебедев Г.С., 1985. – С. 100, 103, 104). Нумизматические данные из циркумбалтийской зоны показывают, что «чем дальше отстоит район обращения куфических монет от источника поступления, тем больше среди его нумизматических памятников встречается ранних кладов» (Фомин А.В., 1982. – С. 19). Хронологическая и топографическая дата кладов балтийской зоны, считает Т. Нунан /Тh.S. Noonan/, является важным фактором развития балтийских городов, одним из которых и в более позднее время была Cтарая Ладога, через которую были экспортированы почти все дирхемы (Noonan Ts., 2000. – Р. 391, 392).</w:t>
      </w:r>
    </w:p>
    <w:p w14:paraId="7FF72E61" w14:textId="77777777" w:rsidR="00CD484C" w:rsidRDefault="00CD484C">
      <w:pPr>
        <w:ind w:firstLine="397"/>
        <w:jc w:val="both"/>
        <w:rPr>
          <w:sz w:val="20"/>
          <w:szCs w:val="16"/>
        </w:rPr>
      </w:pPr>
      <w:r>
        <w:rPr>
          <w:sz w:val="20"/>
          <w:szCs w:val="16"/>
        </w:rPr>
        <w:t xml:space="preserve">Рассмотренный выше трансконтинентальный путь, как система, сложенная из локальных транспортно-коммуникационных схем и посреднических (перевалочных) центров по доставке какой-либо одной спецификации товаров, мог существовать достаточно долго и использоваться интенсивно. В последующие IX–XII вв. восточная торговля направлялась как по </w:t>
      </w:r>
      <w:r>
        <w:rPr>
          <w:sz w:val="20"/>
          <w:szCs w:val="16"/>
        </w:rPr>
        <w:lastRenderedPageBreak/>
        <w:t>сухопутному, так и по волжскому пути, при этом в ВКА основной посреднический центр сместился со средней Камы в Волжскую Булгарию.</w:t>
      </w:r>
    </w:p>
    <w:p w14:paraId="48BB3C85" w14:textId="77777777" w:rsidR="00CD484C" w:rsidRDefault="00CD484C">
      <w:pPr>
        <w:ind w:firstLine="397"/>
        <w:jc w:val="both"/>
        <w:rPr>
          <w:sz w:val="20"/>
          <w:szCs w:val="16"/>
        </w:rPr>
      </w:pPr>
      <w:r>
        <w:rPr>
          <w:sz w:val="20"/>
          <w:szCs w:val="16"/>
        </w:rPr>
        <w:t>Источниковедение кладов с куфическими монетами, основанное на методике изучения хронологического состава монет в кладах, возможности которого демонстрирует В.Л. Янин, позволяет преодолеть противоречия между данными письменных источников и топографией кладов куфических монет IX в. Выявленные таким образом типологические ряды связываются с понятием монетного потока (Фомин А.В., 1982. – С. 18–21). Установлено, что куфическая монета поступала в Европу 1–2 потоками. Такой подход методически оправдан, поскольку позволяет снять противоречия и в самой топографии кладов. Серьезным научным аргументом в пользу развития теории монетного потока является изучение распространения как импортных бус ближневосточного происхождения, так их местных подражаний. Интересна находка стеклянной гири, относящейся 780 г., приведенная В. Хинцем /W. Hinz/ (1955. – S. 1; 1970. – С. 11), указывающая средний вес золотого динара 4,231 г. Ввоз бус в синхронный период из Кавказа по данным компьютерного анализа распространения, позволяет выявить их путь в Восточную Европу. Они поступали через Кавказ в низовья Волги, затем вверх по ее течению к Волго-Донской переволоке, а оттуда по Дону – Северскому Донцу – на запад или верхней Волге (Ковалевская В.Б., 2000. – С. 88). И.Л. Кызласов, рассматривая принципы соотнесения письменности и государства, предполагает допустимым связывать кубанское письмо, известное по надписям на сосудах Прикамья, с болгарской государственностью (Кызласов И.Л., 1994. – С. 216).</w:t>
      </w:r>
    </w:p>
    <w:p w14:paraId="520D88C4" w14:textId="4C7099DC" w:rsidR="00CD484C" w:rsidRDefault="00CD484C">
      <w:pPr>
        <w:ind w:firstLine="397"/>
        <w:jc w:val="both"/>
        <w:rPr>
          <w:sz w:val="20"/>
          <w:szCs w:val="16"/>
        </w:rPr>
      </w:pPr>
      <w:r>
        <w:rPr>
          <w:sz w:val="20"/>
          <w:szCs w:val="16"/>
        </w:rPr>
        <w:t>На арабском Востоке в  денежном обращении находились золотой динар, имевший весовую норму классического арабского мискаля 4,25 г., а также серебряная монета дирхем, чеканившаяся по принципу аль-марко весом 2,97 г. Золото в самородках привозили из Нубии</w:t>
      </w:r>
      <w:r>
        <w:rPr>
          <w:rStyle w:val="a6"/>
          <w:sz w:val="20"/>
          <w:szCs w:val="16"/>
        </w:rPr>
        <w:footnoteReference w:customMarkFollows="1" w:id="13"/>
        <w:t>13</w:t>
      </w:r>
      <w:r>
        <w:rPr>
          <w:sz w:val="20"/>
          <w:szCs w:val="16"/>
        </w:rPr>
        <w:t xml:space="preserve">. Динары имели пробу 960° – 980°. Соотношение цены золота к цене серебра составляло </w:t>
      </w:r>
      <w:r>
        <w:rPr>
          <w:sz w:val="20"/>
          <w:szCs w:val="16"/>
        </w:rPr>
        <w:br/>
        <w:t>1 : 12 (Die Kultur des Islams, 1971. – S. 175, 288). Подобное рацио – важнейший макроэкономический показатель для характеристики денежных систем средневековья – был характерен и для средневековой Европы и для Древней Руси (Назаренко А.В., 2001. – С. 147–149, 176). Дирхем, при</w:t>
      </w:r>
      <w:r w:rsidR="00395416">
        <w:rPr>
          <w:noProof/>
          <w:sz w:val="20"/>
          <w:szCs w:val="16"/>
        </w:rPr>
        <mc:AlternateContent>
          <mc:Choice Requires="wps">
            <w:drawing>
              <wp:anchor distT="0" distB="0" distL="114300" distR="114300" simplePos="0" relativeHeight="251629056" behindDoc="0" locked="1" layoutInCell="1" allowOverlap="1" wp14:anchorId="0879590A" wp14:editId="79C66DD6">
                <wp:simplePos x="0" y="0"/>
                <wp:positionH relativeFrom="column">
                  <wp:posOffset>0</wp:posOffset>
                </wp:positionH>
                <wp:positionV relativeFrom="paragraph">
                  <wp:posOffset>-252730</wp:posOffset>
                </wp:positionV>
                <wp:extent cx="4095750" cy="186690"/>
                <wp:effectExtent l="0" t="1905" r="3810" b="1905"/>
                <wp:wrapNone/>
                <wp:docPr id="1688589425"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3620A"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4F74CB03"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9590A" id="Text Box 181" o:spid="_x0000_s1035" type="#_x0000_t202" style="position:absolute;left:0;text-align:left;margin-left:0;margin-top:-19.9pt;width:322.5pt;height:14.7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QKYM07wEAAMEDAAAOAAAAAAAAAAAAAAAAAC4CAABkcnMvZTJv&#10;RG9jLnhtbFBLAQItABQABgAIAAAAIQCnTgMH3gAAAAgBAAAPAAAAAAAAAAAAAAAAAEkEAABkcnMv&#10;ZG93bnJldi54bWxQSwUGAAAAAAQABADzAAAAVAUAAAAA&#10;" stroked="f">
                <v:textbox inset="0,0,0,0">
                  <w:txbxContent>
                    <w:p w14:paraId="1323620A"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4F74CB03" w14:textId="77777777" w:rsidR="00AE2133" w:rsidRDefault="00AE2133">
                      <w:pPr>
                        <w:rPr>
                          <w:b/>
                          <w:bCs/>
                          <w:sz w:val="2"/>
                          <w:u w:val="single"/>
                        </w:rPr>
                      </w:pPr>
                    </w:p>
                  </w:txbxContent>
                </v:textbox>
                <w10:anchorlock/>
              </v:shape>
            </w:pict>
          </mc:Fallback>
        </mc:AlternateContent>
      </w:r>
      <w:r>
        <w:rPr>
          <w:sz w:val="20"/>
          <w:szCs w:val="16"/>
        </w:rPr>
        <w:t xml:space="preserve">нимавшийся в IX – начале X  в. по счету,  служил эквивалентом древнерусской куне, основывался на весе монеты 2,9–3,0 г. (Янин В.Л., 1956. – С. 110–112, 123–125).  </w:t>
      </w:r>
    </w:p>
    <w:p w14:paraId="6C44A7DC" w14:textId="77777777" w:rsidR="00CD484C" w:rsidRDefault="00CD484C">
      <w:pPr>
        <w:ind w:firstLine="397"/>
        <w:jc w:val="both"/>
        <w:rPr>
          <w:sz w:val="20"/>
          <w:szCs w:val="16"/>
        </w:rPr>
      </w:pPr>
      <w:r>
        <w:rPr>
          <w:sz w:val="20"/>
          <w:szCs w:val="16"/>
        </w:rPr>
        <w:t xml:space="preserve">В IX в. арабские купцы на север дальше А(И)тиля не проникали. Основными поставщиками куфической монеты в Европу были ар-разанийя/рахданийа, у которых восточные славяне перекупали  валютный </w:t>
      </w:r>
      <w:r>
        <w:rPr>
          <w:sz w:val="20"/>
          <w:szCs w:val="16"/>
        </w:rPr>
        <w:lastRenderedPageBreak/>
        <w:t xml:space="preserve">металл. Русы, являлись какой-то частью восточно-славянского сообщества. (Ибн Хордадбек, 1986. – С. 124). «В первой половине- середине IХ в., – пишет В.В. Седов, – русы воспринимались в арабском мире как часть славянского мира» (РА, 2002. № 3, с. 183). Согласно Ибн Хордадбеку, занимавшему а Халифате пост начальника почты и разведки (Franklin S., Shepard J., 1998. – Р. 42), русы контролировали доставку серебра в Прибалтику и самостоятельно добирались через Джурджан до Рея и Багдада (Калинина Т.М., 1986. – С. 78–82; Коновалова И.Г., 2000. – С. 128). Наблюдения за эмиссионным распределением состава русских кладов IX в. позволили Р.Р. Фасмеру установить центр вывоза монет этого времени – это был город Рей (Мухамадия) (Фасмер Р.Р., 1933. – С. 476), дирхем которого с датой чеканки 167 г.х. отложился в составе Староладожского клада, являясь, в связи с этим, самым восточным эмиссионным центром памятника. </w:t>
      </w:r>
    </w:p>
    <w:p w14:paraId="20E888E7" w14:textId="77777777" w:rsidR="00CD484C" w:rsidRDefault="00CD484C">
      <w:pPr>
        <w:ind w:firstLine="397"/>
        <w:jc w:val="both"/>
        <w:rPr>
          <w:sz w:val="20"/>
          <w:szCs w:val="16"/>
        </w:rPr>
      </w:pPr>
      <w:r>
        <w:rPr>
          <w:sz w:val="20"/>
          <w:szCs w:val="16"/>
        </w:rPr>
        <w:t>Основным товаром купцов-русов, пускавших по пути следования караванов в оборот деньги-дирхемы, были невольники и пушнина (Фёдоров-Давыдов Г.А., 1985. – С. 110; Кирпичников А.Н., 2002. – С. 43–48; Мишин Д.Е., 2002. – С. 174–176), хотя географические представления арабских купцов дальше Волжской Булгарии не распространялись: главным истоком Волги в арабо-персидской литературе считалась Кама (Новосельцев А.П., 1990. – С. 19, 248).</w:t>
      </w:r>
    </w:p>
    <w:p w14:paraId="13D8C1A4" w14:textId="77777777" w:rsidR="00CD484C" w:rsidRDefault="00CD484C">
      <w:pPr>
        <w:ind w:firstLine="397"/>
        <w:jc w:val="both"/>
        <w:rPr>
          <w:sz w:val="20"/>
          <w:szCs w:val="16"/>
        </w:rPr>
      </w:pPr>
      <w:r>
        <w:rPr>
          <w:sz w:val="20"/>
          <w:szCs w:val="16"/>
        </w:rPr>
        <w:t xml:space="preserve">Таким образом, Вятско-Камский ареал, располагаясь в центре двух трансконтинентальных путей, доставлявших в Европу валютный металл, был контактной  зоной взаимодействия и взаимовлияния  разных культур и цивилизаций, сложившейся, как отмечалось выше, начиная с VI–VII вв. Появление  в количествах более чем огромных серебра в Восточной Европы в раннем средневековье, было обусловлено не только  этнокультурными традициями. В условиях господства натурального хозяйства наиболее выгодной была не внутренняя торговля, но торговля внешняя (Даркевич В.П., 1976. – С. 143; Verma H.C., 1978. – Р. 257; Большаков О.Г., 1984. – С. 213). Встречающееся в историографии вопроса объяснение причин эффективности дальней трансконтинентальной торговли, основаны на «одностороннем» подходе в понимании внешней торговли, вызванной сбытом военных трофеев и, как следствие, принижении участия денег в разграничении их функций как средства обращения и мировых денег (Михалевский Ф.А., 1948. – С. 30). Массовое поступление серебра в форме изделий торевтики в ВКА, вызван потребностями местной племенной верхушки в социально-престижных ценностях, подчеркивающих приоритет сакральности культов и нарождающейся политической власти, вызвав, таким образом, спрос на драгоценный металл. Серебро, в том числе и в монетной форме, что хорошо известно специалистам, в эпоху металлического денежного обращения выполняет в экономической культуре средневекового общества двоякую функцию. Оно выступает как товар и как собственно деньги. «Во </w:t>
      </w:r>
      <w:r>
        <w:rPr>
          <w:sz w:val="20"/>
          <w:szCs w:val="16"/>
        </w:rPr>
        <w:lastRenderedPageBreak/>
        <w:t xml:space="preserve">время перемещения монеты теряли свойства денег, – пишет В.Н. Рябцевич, – выступая как слитки благородных металлов, становясь товаром. В странах-импортерах, она вновь приобретала свойства денег…» (Рябцевич В.Н., 1995. – С. 100). Рассматривая работы видного американского историка-нумизмата Т. Нунана о первом «серебряном кризисе», С. Франклин и Дж. Шепард обращают внимание на то обстоятельство, что дирхемы чеканки конца IX в., чтобы достичь Ладоги, Готланда и верхней Волги должны были долго находится в обороте (Franklin S., Shepard J., 1998. – Р. 60) и небезосновательно ссылаясь на известия Ибн Русте и Ибн Фадлана, ученые утверждают, что русы при этом, требовали за свои товары только исламское серебро (Там же). «Прежде чем попасть на её просторы /Древней Руси – </w:t>
      </w:r>
      <w:r>
        <w:rPr>
          <w:i/>
          <w:sz w:val="20"/>
          <w:szCs w:val="16"/>
        </w:rPr>
        <w:t>Н.Х</w:t>
      </w:r>
      <w:r>
        <w:rPr>
          <w:sz w:val="20"/>
          <w:szCs w:val="16"/>
        </w:rPr>
        <w:t xml:space="preserve">./, – писал И.Г. Спасский (1971. – С. 19), – иноземные монеты проделывали долгий и не всегда прямой путь. Они «эшелонировались» в более близких государствах и перед окончательным «броском» сосредотачивались в немногих определенных пунктах постоянных связей </w:t>
      </w:r>
      <w:r>
        <w:rPr>
          <w:i/>
          <w:sz w:val="20"/>
          <w:szCs w:val="16"/>
        </w:rPr>
        <w:t>с рынками Руси»</w:t>
      </w:r>
      <w:r>
        <w:rPr>
          <w:sz w:val="20"/>
          <w:szCs w:val="16"/>
        </w:rPr>
        <w:t xml:space="preserve"> /курсив наш – </w:t>
      </w:r>
      <w:r>
        <w:rPr>
          <w:i/>
          <w:sz w:val="20"/>
          <w:szCs w:val="16"/>
        </w:rPr>
        <w:t>Н.Х</w:t>
      </w:r>
      <w:r>
        <w:rPr>
          <w:sz w:val="20"/>
          <w:szCs w:val="16"/>
        </w:rPr>
        <w:t>./. Поэтому, дальняя внешняя торговля в древности и средневековье была связана на факторе издержек, обеспечивающее такое соотношение стоимости товаров, участвующих во внешнеторговом обороте, которое обеспечивало прибыльность торговли на всем пути следования определенных товаров до их конечного потребителя, уравновешивая, таким образом, эластичность предложения.</w:t>
      </w:r>
    </w:p>
    <w:p w14:paraId="7D895B22" w14:textId="160810EA" w:rsidR="00CD484C" w:rsidRDefault="00CD484C">
      <w:pPr>
        <w:pStyle w:val="a5"/>
        <w:ind w:firstLine="397"/>
        <w:jc w:val="both"/>
        <w:rPr>
          <w:szCs w:val="16"/>
        </w:rPr>
      </w:pPr>
      <w:r>
        <w:rPr>
          <w:szCs w:val="16"/>
        </w:rPr>
        <w:t xml:space="preserve">Вместе с этим, существует ряд спорных вопросов в проблеме движения куфического дирхема в Восточной Европы, без решения которой трудно представить его распространение в Европе Центральной и даже Северной. Дискуссионность этих вопросов вообще свойственна науке и однозначного результата видимо будет добиться не скоро. Свою лепту, как представляется, может внести изучение состава кладов восточноевропейских методом эмиссионного распределения с учетом, разумеется, данных хронологии. Тем более, что подобное сопоставление в отечественной нумизматике произвел А.В. Фомин, на примерах кладов, выпавших в 840-х гг. – Выжегша, Ягошурский, Оманский (Фомин А.В., 1988. – С. 110–114). Если взять, к примеру, клад Элмед с датой ММ 820/821 г., выпавший в устье Камы на первом этапе распространения дирхема, почти 40% состава которого составляют дирхемы, отчеканенные в средиземноморских </w:t>
      </w:r>
      <w:r w:rsidR="00395416">
        <w:rPr>
          <w:noProof/>
          <w:szCs w:val="16"/>
        </w:rPr>
        <mc:AlternateContent>
          <mc:Choice Requires="wps">
            <w:drawing>
              <wp:anchor distT="0" distB="0" distL="114300" distR="114300" simplePos="0" relativeHeight="251630080" behindDoc="0" locked="1" layoutInCell="1" allowOverlap="1" wp14:anchorId="32597D05" wp14:editId="4BF8775D">
                <wp:simplePos x="0" y="0"/>
                <wp:positionH relativeFrom="column">
                  <wp:posOffset>0</wp:posOffset>
                </wp:positionH>
                <wp:positionV relativeFrom="paragraph">
                  <wp:posOffset>-252730</wp:posOffset>
                </wp:positionV>
                <wp:extent cx="4095750" cy="186690"/>
                <wp:effectExtent l="0" t="1905" r="3810" b="1905"/>
                <wp:wrapNone/>
                <wp:docPr id="186358251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7AEEB"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256E577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97D05" id="Text Box 182" o:spid="_x0000_s1036" type="#_x0000_t202" style="position:absolute;left:0;text-align:left;margin-left:0;margin-top:-19.9pt;width:322.5pt;height:14.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I7g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" stroked="f">
                <v:textbox inset="0,0,0,0">
                  <w:txbxContent>
                    <w:p w14:paraId="7827AEEB"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256E5779" w14:textId="77777777" w:rsidR="00AE2133" w:rsidRDefault="00AE2133">
                      <w:pPr>
                        <w:rPr>
                          <w:b/>
                          <w:bCs/>
                          <w:sz w:val="2"/>
                          <w:u w:val="single"/>
                        </w:rPr>
                      </w:pPr>
                    </w:p>
                  </w:txbxContent>
                </v:textbox>
                <w10:anchorlock/>
              </v:shape>
            </w:pict>
          </mc:Fallback>
        </mc:AlternateContent>
      </w:r>
      <w:r>
        <w:rPr>
          <w:szCs w:val="16"/>
        </w:rPr>
        <w:t xml:space="preserve">провинциях Халифата и проследить их путь вверх по Волге, археологически представленные прекрасно раскопанными Тимерёвским и Михайловским комплексами (Седов В.В., 1999. – С. 126–127), то в этом смысле использование средней и верхней Волги в качестве транспортной артерии, доставлявшей монету локальным пользователям, плюс к тому, подпитываемой дирхемами среднеазиатской чеканки, представляется очевидным. Известные в науке торговые пути в Южной и Центральной Европе, не отмеченные топографией кладов, в частности,  путь «из немец в хазары» Регенсбург – </w:t>
      </w:r>
      <w:r>
        <w:rPr>
          <w:szCs w:val="16"/>
        </w:rPr>
        <w:lastRenderedPageBreak/>
        <w:t xml:space="preserve">Прага – Киев IX–XII вв. (Потин В.М., 1968. – С. 51, 63; Толочко П.П., 1987. – С. 8–10; Кучкин В.А., 1995. – С. 96; Рябцевич В.Н., 1995. – С. 100; </w:t>
      </w:r>
      <w:r>
        <w:rPr>
          <w:color w:val="000000"/>
          <w:szCs w:val="16"/>
        </w:rPr>
        <w:t>Franklin S., Shepard J., 1998. – Р. 328:</w:t>
      </w:r>
      <w:r>
        <w:rPr>
          <w:szCs w:val="16"/>
        </w:rPr>
        <w:t xml:space="preserve"> Голб Н., Прицак О., 1997. – С. 71; Назаренко А.В., 2001. – С. 89–94; 102–103; 144), по мнению А.В. Назаренко (2001. – С. 91–94) и А.А. Горского (1999. – С. 196) не означает отсутствие в обращении куфического дирхема. По экспертным оценкам в Киеве известно до 1100 куфических монет (Моця А.П., Халиков А.Х., 1997. – С. 56). Одновременно, из Булгара в Киев существовало 2 варианта следования: водно-волоконный и караванный /20 переходов/, согласно В.В. Кропоткину и Б.А. Рыбакову (Моця А.П., Халиков А.Х., 1997. – С. 89–90, 140, 170–172). Поэтому, трудно не разделить мнение о том, что торговые пути в средневековье не всегда совпадали с направлением движения монетных потоков (Потин В.М., 1981. – С. 88). Найденная, в Казанском кремле монета чешского князя Вацлава, выпущенная в 929–930-х гг. в Праге (Хузин Ф.П., 194–195, 207), прошла по маршруту Прага - Киев – Казань. </w:t>
      </w:r>
    </w:p>
    <w:p w14:paraId="197A2E26" w14:textId="77777777" w:rsidR="00CD484C" w:rsidRDefault="00CD484C">
      <w:pPr>
        <w:ind w:firstLine="397"/>
        <w:jc w:val="both"/>
        <w:rPr>
          <w:sz w:val="20"/>
          <w:szCs w:val="16"/>
        </w:rPr>
      </w:pPr>
      <w:r>
        <w:rPr>
          <w:sz w:val="20"/>
          <w:szCs w:val="16"/>
        </w:rPr>
        <w:t>С момента чеканки дирхемов до выпадения на Земляном городище  проходило всего 4–7 года (Кирпичников А.Н., 1995. – С. 46–48), тогда как, к примеру,  клады куфических монет, полученные из Неревского раскопа  Х в. были перекрыты  деревянными сооружениями спустя 14 лет после  даты их вероятного зарытия (Янин В.Л., 1973. – С. 70), в то время как западноевропейские денарии выпадали с лагом 18–39 лет (Потин В.М., 1981. – С. 87). Эти обстоятельства, а также стратиграфические наблюдения позволили датировать найденный в Новгороде клад из 59 западноевропейских денариев и византийских миллиарисиев второй пол. 20-х – первой пол. 30-х гг. XI в. (Янин В.Л., Гайдуков, 1996. – С. 151–154)</w:t>
      </w:r>
      <w:r>
        <w:rPr>
          <w:rStyle w:val="a6"/>
          <w:sz w:val="20"/>
          <w:szCs w:val="16"/>
        </w:rPr>
        <w:footnoteReference w:customMarkFollows="1" w:id="14"/>
        <w:t>14</w:t>
      </w:r>
      <w:r>
        <w:rPr>
          <w:sz w:val="20"/>
          <w:szCs w:val="16"/>
        </w:rPr>
        <w:t>.</w:t>
      </w:r>
    </w:p>
    <w:p w14:paraId="7F4938F3" w14:textId="77777777" w:rsidR="00CD484C" w:rsidRDefault="00CD484C">
      <w:pPr>
        <w:ind w:firstLine="397"/>
        <w:jc w:val="both"/>
        <w:rPr>
          <w:sz w:val="20"/>
          <w:szCs w:val="16"/>
        </w:rPr>
      </w:pPr>
      <w:r>
        <w:rPr>
          <w:sz w:val="20"/>
          <w:szCs w:val="16"/>
        </w:rPr>
        <w:t>А.Н. Насонов выделил Ладогу в  качестве центра новгородской колонизации Севера, откуда продвижение в неблизкую Пермь осуществлялось в обход Белоозера (Насонов А.Н., 1951. – С. 93). Исландско-норвежские королевские саги, согласно Т.Н. Джексон, указывают на существование двух путей на Севере: Ладога – Беломорье и Беломорье – Сев.Двина – Суздальская земля. Многообразие транспортных магистралей в данном регионе делает реальным путь из ВКА в Прибалтику по маршруту Ладожское – Онежское и далее по Сухоне как наиболее вероятному для времени IX–Х вв.</w:t>
      </w:r>
    </w:p>
    <w:p w14:paraId="371AB79E" w14:textId="77777777" w:rsidR="00CD484C" w:rsidRDefault="00CD484C">
      <w:pPr>
        <w:ind w:firstLine="397"/>
        <w:jc w:val="both"/>
        <w:rPr>
          <w:sz w:val="20"/>
          <w:szCs w:val="16"/>
        </w:rPr>
      </w:pPr>
      <w:r>
        <w:rPr>
          <w:sz w:val="20"/>
          <w:szCs w:val="16"/>
        </w:rPr>
        <w:t xml:space="preserve">Такие знаковые археологические артефакты, как знаки Рюриковичей, один из которых происходит из чепецкого Иднакара, а другой – из Рождественского городища около Перми, указывают, вероятно, на северный канал их поступления. Принимая во внимание точку зрения С.В. Белецкого о возможной принадлежности подвески с Рождественского городища  Олаву </w:t>
      </w:r>
      <w:r>
        <w:rPr>
          <w:sz w:val="20"/>
          <w:szCs w:val="16"/>
        </w:rPr>
        <w:lastRenderedPageBreak/>
        <w:t>Трюггвасону, деятельность которого при дворе Владимира Святославовича приходилась на 977-986 гг. (Белецкий С.В., 1997. – С. 139–143), – сомнения в её поступлении по северному маршруту на среднюю Каму возникнуть не могут. На Чепце была найдена  пока единственная скандинавская фибула (Стальсберг А., 1994. – С. 193, рис. 1,  6).</w:t>
      </w:r>
    </w:p>
    <w:p w14:paraId="1702ED43" w14:textId="77777777" w:rsidR="00CD484C" w:rsidRDefault="00CD484C">
      <w:pPr>
        <w:ind w:firstLine="397"/>
        <w:jc w:val="both"/>
        <w:rPr>
          <w:sz w:val="20"/>
          <w:szCs w:val="16"/>
        </w:rPr>
      </w:pPr>
      <w:r>
        <w:rPr>
          <w:sz w:val="20"/>
          <w:szCs w:val="16"/>
        </w:rPr>
        <w:t>Описанный выше путь также как и волжский  складывался из ряда локальных транспортно-коммуникационных схем. Возможность существования пути из Белоозера в Приладожье отмечена Е.Н. Носовым (1976. – С. 168, прим.168), а использование пути из того же Белоозера в верховья Северной Двины в процессе колонизации и перемещения небольших групп пермского населения показано Н.А. Макаровым, которым установлено, что волоки Белозерья и Поонежья были удобнее для первоначального проникновения в Северодвинский бассейн, чем волоки Важско-Сухонского водораздела (Макаров Н.А., 1997. – С. 104, 167).</w:t>
      </w:r>
    </w:p>
    <w:p w14:paraId="6654D40B" w14:textId="77777777" w:rsidR="00CD484C" w:rsidRDefault="00CD484C">
      <w:pPr>
        <w:ind w:firstLine="397"/>
        <w:jc w:val="both"/>
        <w:rPr>
          <w:sz w:val="20"/>
          <w:szCs w:val="16"/>
        </w:rPr>
      </w:pPr>
      <w:r>
        <w:rPr>
          <w:sz w:val="20"/>
          <w:szCs w:val="16"/>
        </w:rPr>
        <w:t xml:space="preserve">Очевидно, используя этот путь в IX–Х вв. на Лузе – левом притоке нижнего течения Сухоны – появилась небольшая компактная группа прибалтийско-финского происхождения – в будущем летописная лузская пермца, представленная Лоемским могильником и поселением. Исходным пунктом обитания пришлого населения, в составе которой была водь, по мнению Э.А. Савельевой являлись северо-западные районы Новгородской  земли (Савельева Э.А., 1995. – С. 34, 35, 43). </w:t>
      </w:r>
    </w:p>
    <w:p w14:paraId="5F578662" w14:textId="77777777" w:rsidR="00CD484C" w:rsidRDefault="00CD484C">
      <w:pPr>
        <w:ind w:firstLine="397"/>
        <w:jc w:val="both"/>
        <w:rPr>
          <w:spacing w:val="-3"/>
          <w:sz w:val="20"/>
          <w:szCs w:val="16"/>
        </w:rPr>
      </w:pPr>
      <w:r>
        <w:rPr>
          <w:spacing w:val="-3"/>
          <w:sz w:val="20"/>
          <w:szCs w:val="16"/>
        </w:rPr>
        <w:t>Топо- и этноним «пермь», согласно Е.А.Мельниковой,  имеет западнофинское происхождение, но встречается он только в древнерусской литературе. Топоним «Bjarmaland», локализуемый в Западном Беломорье и Подвинье, – в основном в древнескандинавских источниках (Jakson T., 1992. – Р. 129–130; Джаксон Т.Н., 2000. – С. 277). Не менее легендарная страну Вису (Ису) – только в арабо-персидской литературе, причем оригинальные известия имеются только у Ибн Фадлана Х в. и ставить здесь историко-географический знак равенства мы не будем</w:t>
      </w:r>
      <w:r>
        <w:rPr>
          <w:rStyle w:val="a6"/>
          <w:spacing w:val="-3"/>
          <w:sz w:val="20"/>
          <w:szCs w:val="16"/>
        </w:rPr>
        <w:footnoteReference w:customMarkFollows="1" w:id="15"/>
        <w:t>15</w:t>
      </w:r>
      <w:r>
        <w:rPr>
          <w:spacing w:val="-3"/>
          <w:sz w:val="20"/>
          <w:szCs w:val="16"/>
        </w:rPr>
        <w:t xml:space="preserve"> (Хан Н.А., 2003. – С.177–180).</w:t>
      </w:r>
    </w:p>
    <w:p w14:paraId="3BCB3604" w14:textId="5A785561" w:rsidR="00CD484C" w:rsidRDefault="00395416">
      <w:pPr>
        <w:ind w:firstLine="397"/>
        <w:jc w:val="both"/>
        <w:rPr>
          <w:sz w:val="20"/>
          <w:szCs w:val="16"/>
        </w:rPr>
      </w:pPr>
      <w:r>
        <w:rPr>
          <w:noProof/>
          <w:sz w:val="20"/>
          <w:szCs w:val="16"/>
        </w:rPr>
        <mc:AlternateContent>
          <mc:Choice Requires="wps">
            <w:drawing>
              <wp:anchor distT="0" distB="0" distL="114300" distR="114300" simplePos="0" relativeHeight="251631104" behindDoc="0" locked="1" layoutInCell="1" allowOverlap="1" wp14:anchorId="2E1DFEFC" wp14:editId="20543B6C">
                <wp:simplePos x="0" y="0"/>
                <wp:positionH relativeFrom="column">
                  <wp:posOffset>0</wp:posOffset>
                </wp:positionH>
                <wp:positionV relativeFrom="paragraph">
                  <wp:posOffset>-252730</wp:posOffset>
                </wp:positionV>
                <wp:extent cx="4095750" cy="186690"/>
                <wp:effectExtent l="0" t="0" r="3810" b="0"/>
                <wp:wrapNone/>
                <wp:docPr id="184447109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7168C"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3E28CBA8"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DFEFC" id="Text Box 183" o:spid="_x0000_s1037" type="#_x0000_t202" style="position:absolute;left:0;text-align:left;margin-left:0;margin-top:-19.9pt;width:322.5pt;height:14.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Ld7g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" stroked="f">
                <v:textbox inset="0,0,0,0">
                  <w:txbxContent>
                    <w:p w14:paraId="4CF7168C" w14:textId="77777777" w:rsidR="00AE2133" w:rsidRDefault="00AE2133">
                      <w:pPr>
                        <w:pStyle w:val="a3"/>
                        <w:spacing w:before="0" w:after="0"/>
                        <w:rPr>
                          <w:szCs w:val="24"/>
                          <w:u w:val="single"/>
                        </w:rPr>
                      </w:pPr>
                      <w:r>
                        <w:rPr>
                          <w:szCs w:val="24"/>
                          <w:u w:val="single"/>
                        </w:rPr>
                        <w:tab/>
                        <w:t>Очерк  1. Первый трансконтинентальный</w:t>
                      </w:r>
                      <w:r>
                        <w:rPr>
                          <w:szCs w:val="24"/>
                          <w:u w:val="single"/>
                        </w:rPr>
                        <w:tab/>
                        <w:t xml:space="preserve"> путь…</w:t>
                      </w:r>
                      <w:r>
                        <w:rPr>
                          <w:szCs w:val="24"/>
                          <w:u w:val="single"/>
                        </w:rPr>
                        <w:tab/>
                      </w:r>
                      <w:r>
                        <w:rPr>
                          <w:szCs w:val="24"/>
                          <w:u w:val="single"/>
                        </w:rPr>
                        <w:tab/>
                      </w:r>
                      <w:r>
                        <w:rPr>
                          <w:szCs w:val="24"/>
                          <w:u w:val="single"/>
                        </w:rPr>
                        <w:tab/>
                      </w:r>
                    </w:p>
                    <w:p w14:paraId="3E28CBA8" w14:textId="77777777" w:rsidR="00AE2133" w:rsidRDefault="00AE2133">
                      <w:pPr>
                        <w:rPr>
                          <w:b/>
                          <w:bCs/>
                          <w:sz w:val="2"/>
                          <w:u w:val="single"/>
                        </w:rPr>
                      </w:pPr>
                    </w:p>
                  </w:txbxContent>
                </v:textbox>
                <w10:anchorlock/>
              </v:shape>
            </w:pict>
          </mc:Fallback>
        </mc:AlternateContent>
      </w:r>
      <w:r w:rsidR="00CD484C">
        <w:rPr>
          <w:sz w:val="20"/>
          <w:szCs w:val="16"/>
        </w:rPr>
        <w:t>Прибалтика, Север, а затем Русь – такова очередность проник-новения скандинавов (Джксон Т.Н., 1995. – С. 18–19, 21). Под Русским Севером принято понимать территорию к северу от 57-й  параллели. В полосе, лежащей в пределах 57–60</w:t>
      </w:r>
      <w:r w:rsidR="00CD484C">
        <w:rPr>
          <w:sz w:val="20"/>
          <w:szCs w:val="16"/>
        </w:rPr>
        <w:sym w:font="Times New Roman" w:char="00B0"/>
      </w:r>
      <w:r w:rsidR="00CD484C">
        <w:rPr>
          <w:sz w:val="20"/>
          <w:szCs w:val="16"/>
        </w:rPr>
        <w:t xml:space="preserve"> с.ш. в том же, заметим, ВКА, выпало большинство кладов с куфическими монетами, в том числе и такие нумизматически и исторически представительные как Ягошурский (844/845 гг.) и Лесогурт (841/842 гг.). Клад Глазов 1850 г., в составе которого монеты 121/739,  164/780-81, 168/784 гг. (Марков А.К., 1910. – С. 7, № 38), состоял более чем из 80 монет</w:t>
      </w:r>
      <w:r w:rsidR="00CD484C">
        <w:rPr>
          <w:rStyle w:val="a6"/>
          <w:sz w:val="20"/>
          <w:szCs w:val="16"/>
        </w:rPr>
        <w:footnoteReference w:customMarkFollows="1" w:id="16"/>
        <w:t>16</w:t>
      </w:r>
      <w:r w:rsidR="00CD484C">
        <w:rPr>
          <w:sz w:val="20"/>
          <w:szCs w:val="16"/>
        </w:rPr>
        <w:t xml:space="preserve">. Он аналогичен  по сохранности, кладу Калининград 1945 г. </w:t>
      </w:r>
      <w:r w:rsidR="00CD484C">
        <w:rPr>
          <w:sz w:val="20"/>
          <w:szCs w:val="16"/>
        </w:rPr>
        <w:lastRenderedPageBreak/>
        <w:t>с датой последней известной монеты 745/6 г. (Кропоткин В.В., 1968. – С. 76, прим.16). По мнению Р.Д. Голдиной тезаврация чепецких кладов произошла в результате перемещения племен чепецкой АК в процессе освоения ими среднего течения названной реки. Состояние археологического и иных источников не позволяют связать этот процесс с военно-политической обстановкой вокруг ареала.</w:t>
      </w:r>
    </w:p>
    <w:p w14:paraId="7DE41E2D" w14:textId="77777777" w:rsidR="00CD484C" w:rsidRDefault="00CD484C">
      <w:pPr>
        <w:ind w:firstLine="397"/>
        <w:jc w:val="both"/>
        <w:rPr>
          <w:sz w:val="20"/>
          <w:szCs w:val="16"/>
        </w:rPr>
      </w:pPr>
      <w:r>
        <w:rPr>
          <w:sz w:val="20"/>
          <w:szCs w:val="16"/>
        </w:rPr>
        <w:t xml:space="preserve"> Названные клады топографически и хронологически хорошо коррелируют с ареалом выпадения древнеудмуртских гривен, что позволяет высказать предположение о начале денежного обращения на основе дирхема в бассейне  средней Вятки не позднее второй трети IX в. /Подробней см.: Приложение 2/.</w:t>
      </w:r>
    </w:p>
    <w:p w14:paraId="3366A5AD" w14:textId="77777777" w:rsidR="00CD484C" w:rsidRDefault="00CD484C">
      <w:pPr>
        <w:ind w:firstLine="397"/>
        <w:jc w:val="both"/>
        <w:rPr>
          <w:sz w:val="20"/>
          <w:szCs w:val="16"/>
        </w:rPr>
      </w:pPr>
      <w:r>
        <w:rPr>
          <w:sz w:val="20"/>
          <w:szCs w:val="16"/>
        </w:rPr>
        <w:t>Очевидно, что в IX–Х вв. на средние Вятку и Каму – страну Ису-Вису элитный металл проникал с ближайшего рынка – Волжской Булгарии, куда серебряная монета поступал двумя взаимозаменяемыми и взаимодополняемыми путями – водным и сухопутным, хотя основную нагрузку, что относится к концу IХ в. – принял на себя сухопутный маршрут.</w:t>
      </w:r>
    </w:p>
    <w:p w14:paraId="03EEA51C" w14:textId="77777777" w:rsidR="00CD484C" w:rsidRDefault="00CD484C">
      <w:pPr>
        <w:ind w:firstLine="397"/>
        <w:jc w:val="both"/>
        <w:rPr>
          <w:sz w:val="20"/>
          <w:szCs w:val="16"/>
        </w:rPr>
      </w:pPr>
      <w:r>
        <w:rPr>
          <w:sz w:val="20"/>
          <w:szCs w:val="16"/>
        </w:rPr>
        <w:t xml:space="preserve">Материалы ранних приладожских кладов куфических монет показывают, что по существовавшему в течении всего VIII в. пути из Ближнего и Среднего Востока через Вятско-Камский ареал в Прибалтику и далее в Швецию проникновения восточных товаров, в последней трети века стали поступать арабские дирхемы, образовав первый самый ранний монетный поток металлических денег. Рассмотренный путь позволяет преодолеть противоречия в топографии кладов с восточной монетой. </w:t>
      </w:r>
    </w:p>
    <w:p w14:paraId="7540CCAE" w14:textId="77777777" w:rsidR="00CD484C" w:rsidRDefault="00CD484C">
      <w:pPr>
        <w:ind w:firstLine="397"/>
        <w:jc w:val="both"/>
        <w:rPr>
          <w:bCs/>
          <w:sz w:val="20"/>
          <w:szCs w:val="16"/>
        </w:rPr>
      </w:pPr>
    </w:p>
    <w:p w14:paraId="51F9212D" w14:textId="77777777" w:rsidR="00CD484C" w:rsidRDefault="00CD484C">
      <w:pPr>
        <w:ind w:firstLine="397"/>
        <w:jc w:val="both"/>
        <w:rPr>
          <w:bCs/>
          <w:sz w:val="20"/>
          <w:szCs w:val="16"/>
        </w:rPr>
      </w:pPr>
    </w:p>
    <w:p w14:paraId="5D7A9FD3" w14:textId="77777777" w:rsidR="00CD484C" w:rsidRDefault="00CD484C">
      <w:pPr>
        <w:ind w:firstLine="397"/>
        <w:jc w:val="both"/>
        <w:rPr>
          <w:bCs/>
          <w:sz w:val="20"/>
          <w:szCs w:val="16"/>
        </w:rPr>
      </w:pPr>
    </w:p>
    <w:p w14:paraId="445251BF" w14:textId="77777777" w:rsidR="00CD484C" w:rsidRDefault="00CD484C">
      <w:pPr>
        <w:ind w:firstLine="397"/>
        <w:jc w:val="both"/>
        <w:rPr>
          <w:bCs/>
          <w:sz w:val="20"/>
          <w:szCs w:val="16"/>
        </w:rPr>
      </w:pPr>
    </w:p>
    <w:p w14:paraId="2516DC0A" w14:textId="77777777" w:rsidR="00CD484C" w:rsidRDefault="00CD484C">
      <w:pPr>
        <w:ind w:firstLine="397"/>
        <w:jc w:val="both"/>
        <w:rPr>
          <w:bCs/>
          <w:sz w:val="20"/>
          <w:szCs w:val="16"/>
        </w:rPr>
      </w:pPr>
    </w:p>
    <w:p w14:paraId="79042254" w14:textId="77777777" w:rsidR="00CD484C" w:rsidRDefault="00CD484C">
      <w:pPr>
        <w:ind w:firstLine="397"/>
        <w:jc w:val="both"/>
        <w:rPr>
          <w:bCs/>
          <w:sz w:val="20"/>
          <w:szCs w:val="16"/>
        </w:rPr>
      </w:pPr>
    </w:p>
    <w:p w14:paraId="2EA5E149" w14:textId="77777777" w:rsidR="00CD484C" w:rsidRDefault="00CD484C">
      <w:pPr>
        <w:pStyle w:val="a3"/>
      </w:pPr>
      <w:r>
        <w:lastRenderedPageBreak/>
        <w:t>ОЧЕРК 2.</w:t>
      </w:r>
    </w:p>
    <w:p w14:paraId="2CC06F3C" w14:textId="77777777" w:rsidR="00CD484C" w:rsidRDefault="00CD484C">
      <w:pPr>
        <w:pStyle w:val="20"/>
        <w:spacing w:after="120"/>
        <w:rPr>
          <w:sz w:val="20"/>
          <w:szCs w:val="16"/>
        </w:rPr>
      </w:pPr>
      <w:r>
        <w:rPr>
          <w:b/>
          <w:bCs w:val="0"/>
          <w:sz w:val="20"/>
          <w:szCs w:val="16"/>
        </w:rPr>
        <w:t xml:space="preserve">ПОСТУПЛЕНИЕ КУФИЧЕСКОГО СЕРЕБРА </w:t>
      </w:r>
      <w:r>
        <w:rPr>
          <w:b/>
          <w:bCs w:val="0"/>
          <w:sz w:val="20"/>
          <w:szCs w:val="16"/>
        </w:rPr>
        <w:br/>
        <w:t xml:space="preserve">В ВОСТАКИМ ОБРАЗОМЧНУЮ ЕВРОПУ В Х в. </w:t>
      </w:r>
      <w:r>
        <w:rPr>
          <w:b/>
          <w:bCs w:val="0"/>
          <w:sz w:val="20"/>
          <w:szCs w:val="16"/>
        </w:rPr>
        <w:br/>
        <w:t xml:space="preserve">(ПОТЕНЦИАЛ ДИНАСТИЙНО-ГЕОГРАФИЧЕСКОГО </w:t>
      </w:r>
      <w:r>
        <w:rPr>
          <w:b/>
          <w:bCs w:val="0"/>
          <w:sz w:val="20"/>
          <w:szCs w:val="16"/>
        </w:rPr>
        <w:br/>
        <w:t>РАСПРЕДЕЛЕНИЯ)</w:t>
      </w:r>
    </w:p>
    <w:p w14:paraId="6D780FBC" w14:textId="77777777" w:rsidR="00CD484C" w:rsidRDefault="00CD484C">
      <w:pPr>
        <w:ind w:firstLine="397"/>
        <w:jc w:val="both"/>
        <w:rPr>
          <w:sz w:val="20"/>
          <w:szCs w:val="16"/>
        </w:rPr>
      </w:pPr>
      <w:r>
        <w:rPr>
          <w:sz w:val="20"/>
          <w:szCs w:val="16"/>
        </w:rPr>
        <w:t xml:space="preserve">Денежное обращение на территории Восточной Европы с последней трети VIII по ХI вв. было основано на монетном серебре, происходящем из стран Арабского халифата. Иноземная монета, как  отчетливо показал В.Л. Янин, была в русском денежном обращении была русским номиналом (Янин В.Л., 1956. – С. 78). </w:t>
      </w:r>
    </w:p>
    <w:p w14:paraId="32008F51" w14:textId="25810B54" w:rsidR="00CD484C" w:rsidRDefault="00CD484C">
      <w:pPr>
        <w:ind w:firstLine="397"/>
        <w:jc w:val="both"/>
        <w:rPr>
          <w:sz w:val="20"/>
          <w:szCs w:val="16"/>
        </w:rPr>
      </w:pPr>
      <w:r>
        <w:rPr>
          <w:sz w:val="20"/>
          <w:szCs w:val="16"/>
        </w:rPr>
        <w:t xml:space="preserve">Исследования отечественных  ученых русского денежного обращения, проводящиеся на высоком методическом уровне, позволили выявить не только особенности формирования и функционирования финансовой системы Древнерусского государства, но на основе анализа хронологического, династийного составов создать типологию кладов, связав которую с понятием «монетный поток» разрешили, тем самым, важную источниковедческую проблему. Движение монетного серебра /определение В.Л. Янина/ было вызвано потребностями торговли населения Восточной и Северной Европы. Детальное статистическое изучение монет в кладах Восточной Европы в сопоставлении с динамикой чеканки  медных фельсов в странах-эмитентах, осуществленное А.В. Фоминым, наглядно  демонстрирует о факте поступления арабского серебра, в Европу спустя десятилетие после стартового импульса чеканки фельсов  на Востоке. Таковые зафиксированы в течение всего периода поступления арабских дирхемов (Фомин А.В., 1983. – С. 25–27; 1983б. – С. 19–20). В нумизматической литературе принято говорить о монетных эмиссиях, что подразумевает изучение географии монетных дворов стран-экспортеров. Распределение составов кладов по городам чеканки IX в. были тщательно проанализировано Р.Р. Фасмером в работе «Клад куфических монет, найденных в Новгороде в 1920 г.» (Фасмер Р.Р., 1925. – С. 264–266). В современных публикациях кладов куфических монет таких, например, как  1 и </w:t>
      </w:r>
      <w:r w:rsidR="00395416">
        <w:rPr>
          <w:noProof/>
          <w:sz w:val="20"/>
          <w:szCs w:val="16"/>
        </w:rPr>
        <mc:AlternateContent>
          <mc:Choice Requires="wps">
            <w:drawing>
              <wp:anchor distT="0" distB="0" distL="114300" distR="114300" simplePos="0" relativeHeight="251632128" behindDoc="0" locked="1" layoutInCell="1" allowOverlap="1" wp14:anchorId="4FCBDF0A" wp14:editId="40FF843E">
                <wp:simplePos x="0" y="0"/>
                <wp:positionH relativeFrom="column">
                  <wp:posOffset>0</wp:posOffset>
                </wp:positionH>
                <wp:positionV relativeFrom="paragraph">
                  <wp:posOffset>-252730</wp:posOffset>
                </wp:positionV>
                <wp:extent cx="4095750" cy="186690"/>
                <wp:effectExtent l="0" t="1905" r="3810" b="1905"/>
                <wp:wrapNone/>
                <wp:docPr id="1842635440"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240B1"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4918BE0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BDF0A" id="Text Box 184" o:spid="_x0000_s1038" type="#_x0000_t202" style="position:absolute;left:0;text-align:left;margin-left:0;margin-top:-19.9pt;width:322.5pt;height:14.7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GG80j7wEAAMIDAAAOAAAAAAAAAAAAAAAAAC4CAABkcnMvZTJv&#10;RG9jLnhtbFBLAQItABQABgAIAAAAIQCnTgMH3gAAAAgBAAAPAAAAAAAAAAAAAAAAAEkEAABkcnMv&#10;ZG93bnJldi54bWxQSwUGAAAAAAQABADzAAAAVAUAAAAA&#10;" stroked="f">
                <v:textbox inset="0,0,0,0">
                  <w:txbxContent>
                    <w:p w14:paraId="7C2240B1"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4918BE09" w14:textId="77777777" w:rsidR="00AE2133" w:rsidRDefault="00AE2133">
                      <w:pPr>
                        <w:rPr>
                          <w:b/>
                          <w:bCs/>
                          <w:sz w:val="2"/>
                          <w:u w:val="single"/>
                        </w:rPr>
                      </w:pPr>
                    </w:p>
                  </w:txbxContent>
                </v:textbox>
                <w10:anchorlock/>
              </v:shape>
            </w:pict>
          </mc:Fallback>
        </mc:AlternateContent>
      </w:r>
      <w:r>
        <w:rPr>
          <w:sz w:val="20"/>
          <w:szCs w:val="16"/>
        </w:rPr>
        <w:t xml:space="preserve">2 Неревские, осуществленные С.А. Яниной, Гнездовских – А.В. Фоминым и Т.А. Пушкиной ученые подходят к кладам как комплексному источнику, полностью раскрывая информационный потенциал куфической монеты, изучая состав, динамику образования и выпадения сокровищ. В указанных работах рассматривается географический состав кладов, и устанавливаются центры чеканки в Иране и Средней Азии, в которых происходила эмиссия монет, образовавших соответствующие клады. </w:t>
      </w:r>
    </w:p>
    <w:p w14:paraId="5A86DF2E" w14:textId="77777777" w:rsidR="00CD484C" w:rsidRDefault="00CD484C">
      <w:pPr>
        <w:ind w:firstLine="397"/>
        <w:jc w:val="both"/>
        <w:rPr>
          <w:sz w:val="20"/>
          <w:szCs w:val="16"/>
        </w:rPr>
      </w:pPr>
      <w:r>
        <w:rPr>
          <w:sz w:val="20"/>
          <w:szCs w:val="16"/>
        </w:rPr>
        <w:t xml:space="preserve">Значительная информационная  нагрузка, присущая  восточному дирхему, где наряду с годом, именем правителя указывается и город, выпустивший тот или иной дензнак, предполагает, что в основе изучения </w:t>
      </w:r>
      <w:r>
        <w:rPr>
          <w:sz w:val="20"/>
          <w:szCs w:val="16"/>
        </w:rPr>
        <w:lastRenderedPageBreak/>
        <w:t xml:space="preserve">географического состава кладов лежит аналогичный принцип датировки,  основанный на показании младшей монеты, который благодаря трудам Р.Р. Фасмера и В.Л. Янина стал прописным и успешно применяется в процессе изучения и интерпретации кладов на основе анализа хронологического состава. И в этой связи, по-видимому, основные принципы методики, разработанные В.Л. Яниным (Янин В.Л., 1956. – С. 62–66) и развитые А.В. Фоминым (Фомин А.В., 1983а. – С. 76–79) при изучении хронологического состава кладов с куфическии монетами и их интерпретации необходимо использовать и при изучении географического состава. </w:t>
      </w:r>
    </w:p>
    <w:p w14:paraId="032CCFDE" w14:textId="77777777" w:rsidR="00CD484C" w:rsidRDefault="00CD484C">
      <w:pPr>
        <w:ind w:firstLine="397"/>
        <w:jc w:val="both"/>
        <w:rPr>
          <w:sz w:val="20"/>
          <w:szCs w:val="16"/>
        </w:rPr>
      </w:pPr>
      <w:r>
        <w:rPr>
          <w:sz w:val="20"/>
          <w:szCs w:val="16"/>
        </w:rPr>
        <w:t xml:space="preserve">Формирование монетных потоков может быть изучено с помощью анализа составов монетных дворов, эмитировавших монеты данной категории источников и, таким образом, есть, вероятно смысл, употребляя вслед за Р.Р. Фасмером термин «распределение» говорить об эмиссионном распределении состава монет того или иного клада, которое, как представляется, более точно отражает динамику образования монетного потока, его движение и, абстрагируясь от династийного составов, позволяет также выявить  некоторые перипетии политической и экономической жизни в странах-эмитентах восточной монеты. </w:t>
      </w:r>
    </w:p>
    <w:p w14:paraId="692F1731" w14:textId="77777777" w:rsidR="00CD484C" w:rsidRDefault="00CD484C">
      <w:pPr>
        <w:ind w:firstLine="397"/>
        <w:jc w:val="both"/>
        <w:rPr>
          <w:sz w:val="20"/>
          <w:szCs w:val="16"/>
        </w:rPr>
      </w:pPr>
      <w:r>
        <w:rPr>
          <w:sz w:val="20"/>
          <w:szCs w:val="16"/>
        </w:rPr>
        <w:t>Известно, что монетные потоки не всегда совпадали с конкретными торговыми путями, а клады, являющиеся материальным свидетельством движения монетного серебра, выпадали, согласно А.В. Фомину, чаще всего не на самих торговых путях – на их стыках, концах и денежных рынках. Именно на денежном рынке Волжско-Камской Булгарии, который стал главным торгово-перевалочным центром Вятско-Камского ареала IX–Х вв. выпадения восточного, византийского, серебра, платежных слитков, стал воротами для куфического дирхема, где существовавший монетный фонд быстро обновлялся, вследствие первичного положения по отношению к стране экспортера (Янин В.Л, 1956. – С. 130; Фомин А.В., 1995. – С. 65, 72).</w:t>
      </w:r>
    </w:p>
    <w:p w14:paraId="4E999EB3" w14:textId="77777777" w:rsidR="00CD484C" w:rsidRDefault="00CD484C">
      <w:pPr>
        <w:ind w:firstLine="397"/>
        <w:jc w:val="both"/>
        <w:rPr>
          <w:sz w:val="20"/>
          <w:szCs w:val="16"/>
        </w:rPr>
      </w:pPr>
      <w:r>
        <w:rPr>
          <w:sz w:val="20"/>
          <w:szCs w:val="16"/>
        </w:rPr>
        <w:t>С начала Х в. 90% всех монет в кладах Восточной Европы составляли дирхемы, выпускавшиеся крупнейшей среднеазиатской династией Саманиды (875–999), вторыми по числу являются  монеты, эмитированные в Булгаре (Янин В.Л., 1956. – С. 122, 130). Саманидские дирхемы, а также монеты эмиров Андераба направлялись в Европу по «волжскому» или «восточному» пути, т.е. данный поток формировался в Хорасане и Маверанахре. Существовало также еще два района вывоза – Закавказье (к западу и Каспийского моря и  области Джабала и Табаристана, лежащие к югу от Каспийского моря. (Фомин А.В., 1983а. – С. 21; 1996. – С. 189; Пушкина Т.А., 1999. – С. 413, 414, 415).</w:t>
      </w:r>
    </w:p>
    <w:p w14:paraId="766A1915" w14:textId="77777777" w:rsidR="00CD484C" w:rsidRDefault="00CD484C">
      <w:pPr>
        <w:ind w:firstLine="397"/>
        <w:jc w:val="both"/>
        <w:rPr>
          <w:sz w:val="20"/>
          <w:szCs w:val="16"/>
        </w:rPr>
      </w:pPr>
      <w:r>
        <w:rPr>
          <w:sz w:val="20"/>
          <w:szCs w:val="16"/>
        </w:rPr>
        <w:t>Волжский путь документируется тремя бувейхидскими кладами, сообщение о которых впервые сделал А.Ф. Лихачев (1887. – С. 2–3), тогда как сухопутный – кладами, состоящими целиком из саманидских дирхемов. /См. очерк 5/.</w:t>
      </w:r>
    </w:p>
    <w:p w14:paraId="5F513596" w14:textId="77777777" w:rsidR="00CD484C" w:rsidRDefault="00CD484C">
      <w:pPr>
        <w:ind w:firstLine="397"/>
        <w:jc w:val="both"/>
        <w:rPr>
          <w:sz w:val="20"/>
          <w:szCs w:val="16"/>
        </w:rPr>
      </w:pPr>
      <w:r>
        <w:rPr>
          <w:sz w:val="20"/>
          <w:szCs w:val="16"/>
        </w:rPr>
        <w:lastRenderedPageBreak/>
        <w:t xml:space="preserve">Об этом свидетельствуют и материалы кладов, не подвергавшиеся еще специальному изучению.  /Рис. 1/. </w:t>
      </w:r>
    </w:p>
    <w:p w14:paraId="4981982E" w14:textId="77777777" w:rsidR="00CD484C" w:rsidRDefault="00CD484C">
      <w:pPr>
        <w:ind w:firstLine="397"/>
        <w:jc w:val="both"/>
        <w:rPr>
          <w:sz w:val="12"/>
          <w:szCs w:val="16"/>
        </w:rPr>
      </w:pPr>
    </w:p>
    <w:p w14:paraId="0BB7EAA4" w14:textId="77777777" w:rsidR="00CD484C" w:rsidRDefault="00CD484C">
      <w:pPr>
        <w:numPr>
          <w:ilvl w:val="12"/>
          <w:numId w:val="0"/>
        </w:numPr>
        <w:jc w:val="center"/>
        <w:rPr>
          <w:sz w:val="20"/>
          <w:szCs w:val="16"/>
        </w:rPr>
      </w:pPr>
      <w:r>
        <w:rPr>
          <w:sz w:val="20"/>
          <w:szCs w:val="16"/>
        </w:rPr>
        <w:object w:dxaOrig="12180" w:dyaOrig="14415" w14:anchorId="329C0324">
          <v:shape id="_x0000_i1026" type="#_x0000_t75" style="width:262.5pt;height:286.15pt" o:ole="">
            <v:imagedata r:id="rId17" o:title="" cropbottom="25416f" cropright="22014f"/>
          </v:shape>
          <o:OLEObject Type="Embed" ProgID="PBrush" ShapeID="_x0000_i1026" DrawAspect="Content" ObjectID="_1816884166" r:id="rId18"/>
        </w:object>
      </w:r>
    </w:p>
    <w:p w14:paraId="29B14576" w14:textId="77777777" w:rsidR="00CD484C" w:rsidRDefault="00CD484C">
      <w:pPr>
        <w:numPr>
          <w:ilvl w:val="12"/>
          <w:numId w:val="0"/>
        </w:numPr>
        <w:jc w:val="center"/>
        <w:rPr>
          <w:i/>
          <w:iCs/>
          <w:sz w:val="8"/>
          <w:szCs w:val="16"/>
        </w:rPr>
      </w:pPr>
    </w:p>
    <w:p w14:paraId="10C275F8" w14:textId="77777777" w:rsidR="00CD484C" w:rsidRDefault="00CD484C">
      <w:pPr>
        <w:numPr>
          <w:ilvl w:val="12"/>
          <w:numId w:val="0"/>
        </w:numPr>
        <w:jc w:val="center"/>
        <w:rPr>
          <w:i/>
          <w:iCs/>
          <w:spacing w:val="-6"/>
          <w:sz w:val="18"/>
          <w:szCs w:val="16"/>
        </w:rPr>
      </w:pPr>
      <w:r>
        <w:rPr>
          <w:b/>
          <w:bCs/>
          <w:i/>
          <w:iCs/>
          <w:spacing w:val="-6"/>
          <w:sz w:val="18"/>
          <w:szCs w:val="16"/>
        </w:rPr>
        <w:t>Рис. 1.</w:t>
      </w:r>
      <w:r>
        <w:rPr>
          <w:i/>
          <w:iCs/>
          <w:spacing w:val="-6"/>
          <w:sz w:val="18"/>
          <w:szCs w:val="16"/>
        </w:rPr>
        <w:t xml:space="preserve"> Карта схема распространения исламских монет в циркумкаспийской зоне в X в.</w:t>
      </w:r>
    </w:p>
    <w:p w14:paraId="0F34641E" w14:textId="77777777" w:rsidR="00CD484C" w:rsidRDefault="00CD484C">
      <w:pPr>
        <w:numPr>
          <w:ilvl w:val="12"/>
          <w:numId w:val="0"/>
        </w:numPr>
        <w:spacing w:after="120"/>
        <w:jc w:val="center"/>
        <w:rPr>
          <w:i/>
          <w:iCs/>
          <w:spacing w:val="-2"/>
          <w:sz w:val="16"/>
          <w:szCs w:val="16"/>
        </w:rPr>
      </w:pPr>
      <w:r>
        <w:rPr>
          <w:b/>
          <w:bCs/>
          <w:i/>
          <w:iCs/>
          <w:spacing w:val="-2"/>
          <w:sz w:val="16"/>
          <w:szCs w:val="16"/>
        </w:rPr>
        <w:t>а</w:t>
      </w:r>
      <w:r>
        <w:rPr>
          <w:i/>
          <w:iCs/>
          <w:spacing w:val="-2"/>
          <w:sz w:val="16"/>
          <w:szCs w:val="16"/>
        </w:rPr>
        <w:t xml:space="preserve"> – средневековые города; </w:t>
      </w:r>
      <w:r>
        <w:rPr>
          <w:b/>
          <w:bCs/>
          <w:i/>
          <w:iCs/>
          <w:spacing w:val="-2"/>
          <w:sz w:val="16"/>
          <w:szCs w:val="16"/>
        </w:rPr>
        <w:t>б</w:t>
      </w:r>
      <w:r>
        <w:rPr>
          <w:i/>
          <w:iCs/>
          <w:spacing w:val="-2"/>
          <w:sz w:val="16"/>
          <w:szCs w:val="16"/>
        </w:rPr>
        <w:t xml:space="preserve"> – клады, содержащие монеты только династии Бувейхидов; </w:t>
      </w:r>
      <w:r>
        <w:rPr>
          <w:i/>
          <w:iCs/>
          <w:spacing w:val="-2"/>
          <w:sz w:val="16"/>
          <w:szCs w:val="16"/>
        </w:rPr>
        <w:br/>
      </w:r>
      <w:r>
        <w:rPr>
          <w:b/>
          <w:bCs/>
          <w:i/>
          <w:iCs/>
          <w:spacing w:val="-2"/>
          <w:sz w:val="16"/>
          <w:szCs w:val="16"/>
        </w:rPr>
        <w:t>в</w:t>
      </w:r>
      <w:r>
        <w:rPr>
          <w:i/>
          <w:iCs/>
          <w:spacing w:val="-2"/>
          <w:sz w:val="16"/>
          <w:szCs w:val="16"/>
        </w:rPr>
        <w:t xml:space="preserve"> – клады, содержащие только монеты династии Саманидов; </w:t>
      </w:r>
      <w:r>
        <w:rPr>
          <w:b/>
          <w:bCs/>
          <w:i/>
          <w:iCs/>
          <w:spacing w:val="-2"/>
          <w:sz w:val="16"/>
          <w:szCs w:val="16"/>
        </w:rPr>
        <w:t>г</w:t>
      </w:r>
      <w:r>
        <w:rPr>
          <w:i/>
          <w:iCs/>
          <w:spacing w:val="-2"/>
          <w:sz w:val="16"/>
          <w:szCs w:val="16"/>
        </w:rPr>
        <w:t xml:space="preserve"> – клады, содержащие дирхемы обеих династий; </w:t>
      </w:r>
      <w:r>
        <w:rPr>
          <w:b/>
          <w:bCs/>
          <w:i/>
          <w:iCs/>
          <w:spacing w:val="-2"/>
          <w:sz w:val="16"/>
          <w:szCs w:val="16"/>
        </w:rPr>
        <w:t>д –</w:t>
      </w:r>
      <w:r>
        <w:rPr>
          <w:i/>
          <w:iCs/>
          <w:spacing w:val="-2"/>
          <w:sz w:val="16"/>
          <w:szCs w:val="16"/>
        </w:rPr>
        <w:t xml:space="preserve">  движение монетного серебра в X  в.; </w:t>
      </w:r>
      <w:r>
        <w:rPr>
          <w:b/>
          <w:bCs/>
          <w:i/>
          <w:iCs/>
          <w:spacing w:val="-2"/>
          <w:sz w:val="16"/>
          <w:szCs w:val="16"/>
        </w:rPr>
        <w:t>е</w:t>
      </w:r>
      <w:r>
        <w:rPr>
          <w:i/>
          <w:iCs/>
          <w:spacing w:val="-2"/>
          <w:sz w:val="16"/>
          <w:szCs w:val="16"/>
        </w:rPr>
        <w:t xml:space="preserve"> – территория Волжской Булгарии; ж - примерная граница между Бувейхидами и Саманидами в Центральном Иране в Х в.</w:t>
      </w:r>
    </w:p>
    <w:p w14:paraId="67F18F24" w14:textId="41DCCCD9" w:rsidR="00CD484C" w:rsidRDefault="00395416">
      <w:pPr>
        <w:numPr>
          <w:ilvl w:val="12"/>
          <w:numId w:val="0"/>
        </w:numPr>
        <w:ind w:firstLine="397"/>
        <w:jc w:val="both"/>
        <w:rPr>
          <w:i/>
          <w:iCs/>
          <w:sz w:val="20"/>
          <w:szCs w:val="16"/>
        </w:rPr>
      </w:pPr>
      <w:r>
        <w:rPr>
          <w:i/>
          <w:iCs/>
          <w:noProof/>
          <w:sz w:val="20"/>
          <w:szCs w:val="16"/>
        </w:rPr>
        <mc:AlternateContent>
          <mc:Choice Requires="wps">
            <w:drawing>
              <wp:anchor distT="0" distB="0" distL="114300" distR="114300" simplePos="0" relativeHeight="251633152" behindDoc="0" locked="1" layoutInCell="1" allowOverlap="1" wp14:anchorId="5B386623" wp14:editId="43EBA319">
                <wp:simplePos x="0" y="0"/>
                <wp:positionH relativeFrom="column">
                  <wp:posOffset>0</wp:posOffset>
                </wp:positionH>
                <wp:positionV relativeFrom="paragraph">
                  <wp:posOffset>-252730</wp:posOffset>
                </wp:positionV>
                <wp:extent cx="4095750" cy="186690"/>
                <wp:effectExtent l="0" t="0" r="3810" b="0"/>
                <wp:wrapNone/>
                <wp:docPr id="79894956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5A741"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2EEE50FD"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86623" id="Text Box 188" o:spid="_x0000_s1039" type="#_x0000_t202" style="position:absolute;left:0;text-align:left;margin-left:0;margin-top:-19.9pt;width:322.5pt;height:14.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16Wd27wEAAMIDAAAOAAAAAAAAAAAAAAAAAC4CAABkcnMvZTJv&#10;RG9jLnhtbFBLAQItABQABgAIAAAAIQCnTgMH3gAAAAgBAAAPAAAAAAAAAAAAAAAAAEkEAABkcnMv&#10;ZG93bnJldi54bWxQSwUGAAAAAAQABADzAAAAVAUAAAAA&#10;" stroked="f">
                <v:textbox inset="0,0,0,0">
                  <w:txbxContent>
                    <w:p w14:paraId="7705A741"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2EEE50FD" w14:textId="77777777" w:rsidR="00AE2133" w:rsidRDefault="00AE2133">
                      <w:pPr>
                        <w:rPr>
                          <w:b/>
                          <w:bCs/>
                          <w:sz w:val="2"/>
                          <w:u w:val="single"/>
                        </w:rPr>
                      </w:pPr>
                    </w:p>
                  </w:txbxContent>
                </v:textbox>
                <w10:anchorlock/>
              </v:shape>
            </w:pict>
          </mc:Fallback>
        </mc:AlternateContent>
      </w:r>
      <w:r w:rsidR="00CD484C">
        <w:rPr>
          <w:i/>
          <w:iCs/>
          <w:sz w:val="20"/>
          <w:szCs w:val="16"/>
        </w:rPr>
        <w:t xml:space="preserve">Клады: </w:t>
      </w:r>
      <w:r w:rsidR="00CD484C">
        <w:rPr>
          <w:b/>
          <w:bCs/>
          <w:i/>
          <w:iCs/>
          <w:sz w:val="20"/>
          <w:szCs w:val="16"/>
        </w:rPr>
        <w:t xml:space="preserve">1 </w:t>
      </w:r>
      <w:r w:rsidR="00CD484C">
        <w:rPr>
          <w:i/>
          <w:iCs/>
          <w:sz w:val="20"/>
          <w:szCs w:val="16"/>
        </w:rPr>
        <w:t xml:space="preserve">– Богдановский 1885 г.; </w:t>
      </w:r>
      <w:r w:rsidR="00CD484C">
        <w:rPr>
          <w:b/>
          <w:bCs/>
          <w:i/>
          <w:iCs/>
          <w:sz w:val="20"/>
          <w:szCs w:val="16"/>
        </w:rPr>
        <w:t xml:space="preserve">2 </w:t>
      </w:r>
      <w:r w:rsidR="00CD484C">
        <w:rPr>
          <w:i/>
          <w:iCs/>
          <w:sz w:val="20"/>
          <w:szCs w:val="16"/>
        </w:rPr>
        <w:t xml:space="preserve">– Красный десант 1970-е годы; </w:t>
      </w:r>
      <w:r w:rsidR="00CD484C">
        <w:rPr>
          <w:i/>
          <w:iCs/>
          <w:sz w:val="20"/>
          <w:szCs w:val="16"/>
        </w:rPr>
        <w:br/>
      </w:r>
      <w:r w:rsidR="00CD484C">
        <w:rPr>
          <w:b/>
          <w:bCs/>
          <w:i/>
          <w:iCs/>
          <w:sz w:val="20"/>
          <w:szCs w:val="16"/>
        </w:rPr>
        <w:t xml:space="preserve">3 </w:t>
      </w:r>
      <w:r w:rsidR="00CD484C">
        <w:rPr>
          <w:i/>
          <w:iCs/>
          <w:sz w:val="20"/>
          <w:szCs w:val="16"/>
        </w:rPr>
        <w:t xml:space="preserve">– Из Казанской губ. 1840 г.; </w:t>
      </w:r>
      <w:r w:rsidR="00CD484C">
        <w:rPr>
          <w:b/>
          <w:bCs/>
          <w:i/>
          <w:iCs/>
          <w:sz w:val="20"/>
          <w:szCs w:val="16"/>
        </w:rPr>
        <w:t xml:space="preserve">4 </w:t>
      </w:r>
      <w:r w:rsidR="00CD484C">
        <w:rPr>
          <w:i/>
          <w:iCs/>
          <w:sz w:val="20"/>
          <w:szCs w:val="16"/>
        </w:rPr>
        <w:t xml:space="preserve">– Ташкент, 1928 г.; </w:t>
      </w:r>
      <w:r w:rsidR="00CD484C">
        <w:rPr>
          <w:b/>
          <w:bCs/>
          <w:i/>
          <w:iCs/>
          <w:sz w:val="20"/>
          <w:szCs w:val="16"/>
        </w:rPr>
        <w:t xml:space="preserve">5 </w:t>
      </w:r>
      <w:r w:rsidR="00CD484C">
        <w:rPr>
          <w:i/>
          <w:iCs/>
          <w:sz w:val="20"/>
          <w:szCs w:val="16"/>
        </w:rPr>
        <w:t xml:space="preserve">– Шаштепа /Ташкент 1938 г./; </w:t>
      </w:r>
      <w:r w:rsidR="00CD484C">
        <w:rPr>
          <w:b/>
          <w:bCs/>
          <w:i/>
          <w:iCs/>
          <w:sz w:val="20"/>
          <w:szCs w:val="16"/>
        </w:rPr>
        <w:t>6</w:t>
      </w:r>
      <w:r w:rsidR="00CD484C">
        <w:rPr>
          <w:i/>
          <w:iCs/>
          <w:sz w:val="20"/>
          <w:szCs w:val="16"/>
        </w:rPr>
        <w:t xml:space="preserve"> – Алтынтепа 1975 г.; </w:t>
      </w:r>
      <w:r w:rsidR="00CD484C">
        <w:rPr>
          <w:b/>
          <w:bCs/>
          <w:i/>
          <w:iCs/>
          <w:sz w:val="20"/>
          <w:szCs w:val="16"/>
        </w:rPr>
        <w:t>7</w:t>
      </w:r>
      <w:r w:rsidR="00CD484C">
        <w:rPr>
          <w:i/>
          <w:iCs/>
          <w:sz w:val="20"/>
          <w:szCs w:val="16"/>
        </w:rPr>
        <w:t xml:space="preserve"> – Болгары 1895 г.; </w:t>
      </w:r>
      <w:r w:rsidR="00CD484C">
        <w:rPr>
          <w:b/>
          <w:bCs/>
          <w:i/>
          <w:iCs/>
          <w:sz w:val="20"/>
          <w:szCs w:val="16"/>
        </w:rPr>
        <w:t>8</w:t>
      </w:r>
      <w:r w:rsidR="00CD484C">
        <w:rPr>
          <w:i/>
          <w:iCs/>
          <w:sz w:val="20"/>
          <w:szCs w:val="16"/>
        </w:rPr>
        <w:t xml:space="preserve"> – Семеновский 1970-х гг.; </w:t>
      </w:r>
      <w:r w:rsidR="00CD484C">
        <w:rPr>
          <w:b/>
          <w:bCs/>
          <w:i/>
          <w:iCs/>
          <w:sz w:val="20"/>
          <w:szCs w:val="16"/>
        </w:rPr>
        <w:t>9</w:t>
      </w:r>
      <w:r w:rsidR="00CD484C">
        <w:rPr>
          <w:i/>
          <w:iCs/>
          <w:sz w:val="20"/>
          <w:szCs w:val="16"/>
        </w:rPr>
        <w:t xml:space="preserve"> – Яз-Кираги 1958 г.; </w:t>
      </w:r>
      <w:r w:rsidR="00CD484C">
        <w:rPr>
          <w:b/>
          <w:bCs/>
          <w:i/>
          <w:iCs/>
          <w:sz w:val="20"/>
          <w:szCs w:val="16"/>
        </w:rPr>
        <w:t>10</w:t>
      </w:r>
      <w:r w:rsidR="00CD484C">
        <w:rPr>
          <w:i/>
          <w:iCs/>
          <w:sz w:val="20"/>
          <w:szCs w:val="16"/>
        </w:rPr>
        <w:t xml:space="preserve"> – Банбаши 1948 г.; </w:t>
      </w:r>
      <w:r w:rsidR="00CD484C">
        <w:rPr>
          <w:i/>
          <w:iCs/>
          <w:sz w:val="20"/>
          <w:szCs w:val="16"/>
        </w:rPr>
        <w:br/>
      </w:r>
      <w:r w:rsidR="00CD484C">
        <w:rPr>
          <w:b/>
          <w:bCs/>
          <w:i/>
          <w:iCs/>
          <w:sz w:val="20"/>
          <w:szCs w:val="16"/>
        </w:rPr>
        <w:t>11</w:t>
      </w:r>
      <w:r w:rsidR="00CD484C">
        <w:rPr>
          <w:i/>
          <w:iCs/>
          <w:sz w:val="20"/>
          <w:szCs w:val="16"/>
        </w:rPr>
        <w:t xml:space="preserve"> – Балымеры 1862 г.; </w:t>
      </w:r>
      <w:r w:rsidR="00CD484C">
        <w:rPr>
          <w:b/>
          <w:bCs/>
          <w:i/>
          <w:iCs/>
          <w:sz w:val="20"/>
          <w:szCs w:val="16"/>
        </w:rPr>
        <w:t>12</w:t>
      </w:r>
      <w:r w:rsidR="00CD484C">
        <w:rPr>
          <w:i/>
          <w:iCs/>
          <w:sz w:val="20"/>
          <w:szCs w:val="16"/>
        </w:rPr>
        <w:t xml:space="preserve"> – Чистопольский 1885 г.; </w:t>
      </w:r>
      <w:r w:rsidR="00CD484C">
        <w:rPr>
          <w:b/>
          <w:bCs/>
          <w:i/>
          <w:iCs/>
          <w:sz w:val="20"/>
          <w:szCs w:val="16"/>
        </w:rPr>
        <w:t>13</w:t>
      </w:r>
      <w:r w:rsidR="00CD484C">
        <w:rPr>
          <w:i/>
          <w:iCs/>
          <w:sz w:val="20"/>
          <w:szCs w:val="16"/>
        </w:rPr>
        <w:t xml:space="preserve"> – Сувар 1974 г.; </w:t>
      </w:r>
      <w:r w:rsidR="00CD484C">
        <w:rPr>
          <w:i/>
          <w:iCs/>
          <w:sz w:val="20"/>
          <w:szCs w:val="16"/>
        </w:rPr>
        <w:br/>
      </w:r>
      <w:r w:rsidR="00CD484C">
        <w:rPr>
          <w:b/>
          <w:bCs/>
          <w:i/>
          <w:iCs/>
          <w:sz w:val="20"/>
          <w:szCs w:val="16"/>
        </w:rPr>
        <w:t xml:space="preserve">14 </w:t>
      </w:r>
      <w:r w:rsidR="00CD484C">
        <w:rPr>
          <w:i/>
          <w:iCs/>
          <w:sz w:val="20"/>
          <w:szCs w:val="16"/>
        </w:rPr>
        <w:t xml:space="preserve">– Рябиновский 1883 г.; </w:t>
      </w:r>
      <w:r w:rsidR="00CD484C">
        <w:rPr>
          <w:b/>
          <w:bCs/>
          <w:i/>
          <w:iCs/>
          <w:sz w:val="20"/>
          <w:szCs w:val="16"/>
        </w:rPr>
        <w:t>15</w:t>
      </w:r>
      <w:r w:rsidR="00CD484C">
        <w:rPr>
          <w:i/>
          <w:iCs/>
          <w:sz w:val="20"/>
          <w:szCs w:val="16"/>
        </w:rPr>
        <w:t xml:space="preserve"> – Борки 1952 г.  </w:t>
      </w:r>
    </w:p>
    <w:p w14:paraId="390D336B" w14:textId="77777777" w:rsidR="00CD484C" w:rsidRDefault="00CD484C">
      <w:pPr>
        <w:ind w:firstLine="397"/>
        <w:jc w:val="both"/>
        <w:rPr>
          <w:sz w:val="20"/>
          <w:szCs w:val="16"/>
        </w:rPr>
      </w:pPr>
    </w:p>
    <w:p w14:paraId="4A7A5375" w14:textId="77777777" w:rsidR="00CD484C" w:rsidRDefault="00CD484C">
      <w:pPr>
        <w:ind w:firstLine="397"/>
        <w:jc w:val="both"/>
        <w:rPr>
          <w:sz w:val="20"/>
          <w:szCs w:val="16"/>
        </w:rPr>
      </w:pPr>
      <w:r>
        <w:rPr>
          <w:sz w:val="20"/>
          <w:szCs w:val="16"/>
        </w:rPr>
        <w:t xml:space="preserve">В Богдановском кладе 1885 г. (Марков А.К., 1910. – С. 7, № 34)  407 монет. /Рис. 1, </w:t>
      </w:r>
      <w:r>
        <w:rPr>
          <w:i/>
          <w:sz w:val="20"/>
          <w:szCs w:val="16"/>
        </w:rPr>
        <w:t>1</w:t>
      </w:r>
      <w:r>
        <w:rPr>
          <w:sz w:val="20"/>
          <w:szCs w:val="16"/>
        </w:rPr>
        <w:t xml:space="preserve">/. Старшая монета 283 г. – аш-Шаш, младшая монета </w:t>
      </w:r>
      <w:r>
        <w:rPr>
          <w:sz w:val="20"/>
          <w:szCs w:val="16"/>
        </w:rPr>
        <w:lastRenderedPageBreak/>
        <w:t>307/919 – Андераб</w:t>
      </w:r>
      <w:r>
        <w:rPr>
          <w:rStyle w:val="a6"/>
          <w:sz w:val="20"/>
          <w:szCs w:val="16"/>
        </w:rPr>
        <w:footnoteReference w:customMarkFollows="1" w:id="17"/>
        <w:t>1</w:t>
      </w:r>
      <w:r>
        <w:rPr>
          <w:sz w:val="20"/>
          <w:szCs w:val="16"/>
        </w:rPr>
        <w:t>. Исключая подражания и неопределенные куфические монеты – все выпущены в Маверанахре (299 экз.): /178 – в Шаше, Самарканде – 110, Бухаре – 1 экз./  и Хорасане (88 экз.), Эмиссионное распределение показывает, что данный клад формировался  из монет выпущенных, прежде всего в Маверанахре. В Волжской Булгарии – на первом валютном рынке  Х в. Восточной Европы – житель страны Чулыман, что на средней Каме (в верховьях р. Чепцы) приобрел данную партию серебра, о чем говорят большое количество подражаний куфическим дирхемам (19 экз.), чеканка, которых как установил Р.Р. Фасмер Р.Р., осуществлялась в Булгаре</w:t>
      </w:r>
      <w:r>
        <w:rPr>
          <w:rStyle w:val="a6"/>
          <w:sz w:val="20"/>
          <w:szCs w:val="16"/>
        </w:rPr>
        <w:footnoteReference w:customMarkFollows="1" w:id="18"/>
        <w:t>2</w:t>
      </w:r>
      <w:r>
        <w:rPr>
          <w:sz w:val="20"/>
          <w:szCs w:val="16"/>
        </w:rPr>
        <w:t>, и уже  потом сокрыл клад в качестве сокровища.</w:t>
      </w:r>
    </w:p>
    <w:p w14:paraId="51E08333" w14:textId="77777777" w:rsidR="00CD484C" w:rsidRDefault="00CD484C">
      <w:pPr>
        <w:ind w:firstLine="397"/>
        <w:jc w:val="both"/>
        <w:rPr>
          <w:sz w:val="20"/>
          <w:szCs w:val="16"/>
        </w:rPr>
      </w:pPr>
      <w:r>
        <w:rPr>
          <w:sz w:val="20"/>
          <w:szCs w:val="16"/>
        </w:rPr>
        <w:t xml:space="preserve"> Показателен небольшой клад, обнаруженный у ж.д.станции Красный десант в Астраханской области (Фёдоров-Давыдов Г.А., 1988. – С. 47, № 55), все, 12 монет которого, выпущены в Маверанахре. /Рис. 1, </w:t>
      </w:r>
      <w:r>
        <w:rPr>
          <w:i/>
          <w:sz w:val="20"/>
          <w:szCs w:val="16"/>
        </w:rPr>
        <w:t>2</w:t>
      </w:r>
      <w:r>
        <w:rPr>
          <w:sz w:val="20"/>
          <w:szCs w:val="16"/>
        </w:rPr>
        <w:t>/. Диапазон чеканки 294/906–907 г. – 306/918–919 г., – минимален – 12 лет, что не может вызвать сомнений о мгновенном  выпадении монет данного клада из состава денежного обращения на валютных рынках Маверанахра. Клад выпал на пути, связывающий Маверанахр, Хорезм, устье Волги, тогда как монеты Богдановского  клада проследовали по пути, который проделало посольство халифа ал-Муктадира, возглавляемое Саусаном ар-Расси.</w:t>
      </w:r>
    </w:p>
    <w:p w14:paraId="2D16113F" w14:textId="77777777" w:rsidR="00CD484C" w:rsidRDefault="00CD484C">
      <w:pPr>
        <w:ind w:firstLine="397"/>
        <w:jc w:val="both"/>
        <w:rPr>
          <w:sz w:val="20"/>
          <w:szCs w:val="16"/>
        </w:rPr>
      </w:pPr>
      <w:r>
        <w:rPr>
          <w:sz w:val="20"/>
          <w:szCs w:val="16"/>
        </w:rPr>
        <w:t xml:space="preserve">Клад 1840 г. Казанской губернии (Марков А.К. 1910. – С. 11, №  56) лишь подтверждает материалы описанных выше кладов. /Рис. 1, </w:t>
      </w:r>
      <w:r>
        <w:rPr>
          <w:i/>
          <w:sz w:val="20"/>
          <w:szCs w:val="16"/>
        </w:rPr>
        <w:t>3</w:t>
      </w:r>
      <w:r>
        <w:rPr>
          <w:sz w:val="20"/>
          <w:szCs w:val="16"/>
        </w:rPr>
        <w:t xml:space="preserve">/.  В его составе из 365 монет – 355  были отчеканены в бывших восточных провинциях халифата с диапазоном чеканки 107 лет: 280-301/893–913 гг. В Шаше и Самарканде было отчеканено 300 монет клада, в Андерабе – 48. </w:t>
      </w:r>
    </w:p>
    <w:p w14:paraId="42A06FEF" w14:textId="77777777" w:rsidR="00CD484C" w:rsidRDefault="00CD484C">
      <w:pPr>
        <w:ind w:firstLine="397"/>
        <w:jc w:val="both"/>
        <w:rPr>
          <w:sz w:val="20"/>
          <w:szCs w:val="16"/>
        </w:rPr>
      </w:pPr>
      <w:r>
        <w:rPr>
          <w:sz w:val="20"/>
          <w:szCs w:val="16"/>
        </w:rPr>
        <w:t xml:space="preserve">Экспортером  серебряной монеты, являлась держава Саманидов и клады с куфическими монетами с территории современного Узбекистана, что следует из сводки кладов Х в., опубликованной Б.Д. Кочневым, характеризуют денежное обращение этого региона на основе местных эмиссий Саманидов (Кочнев Б.Д., 1996, № 2) /Ташкент, 1928 г. 6 экз. Саманиды: 273-317/886–930 гг./. /Рис. 1, </w:t>
      </w:r>
      <w:r>
        <w:rPr>
          <w:i/>
          <w:sz w:val="20"/>
          <w:szCs w:val="16"/>
        </w:rPr>
        <w:t>4</w:t>
      </w:r>
      <w:r>
        <w:rPr>
          <w:iCs/>
          <w:sz w:val="20"/>
          <w:szCs w:val="16"/>
        </w:rPr>
        <w:t>/</w:t>
      </w:r>
      <w:r>
        <w:rPr>
          <w:sz w:val="20"/>
          <w:szCs w:val="16"/>
        </w:rPr>
        <w:t xml:space="preserve">. Вместе с тем, присутствие саффаридских монет в кладе 1840 г., выглядит естественным, т.к. они обращались на рынках Средней Азии, как это видно из кладов Шаштепа /Ташкент 1938 г./ с датой младшей  монеты 327/939(?)  гг. /Рис.1, </w:t>
      </w:r>
      <w:r>
        <w:rPr>
          <w:i/>
          <w:sz w:val="20"/>
          <w:szCs w:val="16"/>
        </w:rPr>
        <w:t>5</w:t>
      </w:r>
      <w:r>
        <w:rPr>
          <w:sz w:val="20"/>
          <w:szCs w:val="16"/>
        </w:rPr>
        <w:t xml:space="preserve">/. и Алтынтепа 1975 г. - 314/926–927 г. гг. (Атаходжаев А. 1993. – С. 11–13; Кочнев Б.Д., 1996, №№ 3, 6). /Рис. 1, </w:t>
      </w:r>
      <w:r>
        <w:rPr>
          <w:i/>
          <w:sz w:val="20"/>
          <w:szCs w:val="16"/>
        </w:rPr>
        <w:t>6</w:t>
      </w:r>
      <w:r>
        <w:rPr>
          <w:sz w:val="20"/>
          <w:szCs w:val="16"/>
        </w:rPr>
        <w:t>/.</w:t>
      </w:r>
    </w:p>
    <w:p w14:paraId="1FF2F9B2" w14:textId="77777777" w:rsidR="00CD484C" w:rsidRDefault="00CD484C">
      <w:pPr>
        <w:ind w:firstLine="397"/>
        <w:jc w:val="both"/>
        <w:rPr>
          <w:sz w:val="20"/>
          <w:szCs w:val="16"/>
        </w:rPr>
      </w:pPr>
      <w:r>
        <w:rPr>
          <w:sz w:val="20"/>
          <w:szCs w:val="16"/>
        </w:rPr>
        <w:t xml:space="preserve">В начале интенсивного поступления саманидского дирхема на восточноевропейские денежные рынки основу монетной массы  составляли </w:t>
      </w:r>
      <w:r>
        <w:rPr>
          <w:sz w:val="20"/>
          <w:szCs w:val="16"/>
        </w:rPr>
        <w:lastRenderedPageBreak/>
        <w:t>монеты, отчеканенные в Маверанахре, к которым в результате внутреннего денежного обращения в Средней Азии подтягивались монеты из Хорасана  (Мерв, Ферава) и Андераба. ММ  Богдановского клада, выпущенные  в Андерабе вместе с монетами аш-Шаша и Самарканда, как раз и являются аргументом в пользу этого, хотя бы потому, что в синхронном кладе 1840 г. из Казанской губ. число андерабских монет составляет 48</w:t>
      </w:r>
      <w:r>
        <w:rPr>
          <w:rStyle w:val="a6"/>
          <w:sz w:val="20"/>
          <w:szCs w:val="16"/>
        </w:rPr>
        <w:footnoteReference w:customMarkFollows="1" w:id="19"/>
        <w:t>3</w:t>
      </w:r>
      <w:r>
        <w:rPr>
          <w:sz w:val="20"/>
          <w:szCs w:val="16"/>
        </w:rPr>
        <w:t xml:space="preserve">. Это, так же как и наличие «чистых» кладов маверанахрской чеканки, найденных на исторической территории Волжско-Камской Булгарии и Маверанахре, не может не означать, что в Х в. сухопутный путь саманидской монеты в Европу начинался с линии аш-Шаш – Самарканд – Бухара – Мерв – Ферава (Хан Н.А., 2001. – С. 34). </w:t>
      </w:r>
    </w:p>
    <w:p w14:paraId="4761DB49" w14:textId="77777777" w:rsidR="00CD484C" w:rsidRDefault="00CD484C">
      <w:pPr>
        <w:ind w:firstLine="397"/>
        <w:jc w:val="both"/>
        <w:rPr>
          <w:sz w:val="20"/>
          <w:szCs w:val="16"/>
        </w:rPr>
      </w:pPr>
      <w:r>
        <w:rPr>
          <w:sz w:val="20"/>
          <w:szCs w:val="16"/>
        </w:rPr>
        <w:t xml:space="preserve">Для русского денежного обращения  с 60-х гг. Х в.  при преобладании  саманидских монет характерно наличие заметного количества монет Бувейхидов и Зияридов (Янин В.Л., 1956. – С. 140). Указанное явление происходило на фоне начавшегося с 60-х гг. серебряного кризиса, связанного с истощением серебряных рудников в аш-Шаше  и  ухудшением качества монеты, что вызвало сокращение ввоза дирхема в Европу и задержку монеты в русском денежном обращении, как установил В.Л. Янин В.Л., на 20–30 лет (Янин В.Л., 1956. – С. 130, 133). </w:t>
      </w:r>
    </w:p>
    <w:p w14:paraId="10264D26" w14:textId="77777777" w:rsidR="00CD484C" w:rsidRDefault="00CD484C">
      <w:pPr>
        <w:ind w:firstLine="397"/>
        <w:jc w:val="both"/>
        <w:rPr>
          <w:sz w:val="20"/>
          <w:szCs w:val="16"/>
        </w:rPr>
      </w:pPr>
      <w:r>
        <w:rPr>
          <w:sz w:val="20"/>
          <w:szCs w:val="16"/>
        </w:rPr>
        <w:t>Рассмотрим особенности географического состава кладов, найденных в устье Камы, датированных по дате младшей монеты в 70-х – 80-х гг. Х в. Так же как и в начале Х в. монеты сюда поступает компактной массой непосредственно из Маверанахра, где зарегистрированы синхронные клады, содержащие только саманидские монеты (Кочнев Б.Д., 1996, №№ 4, 5). Об этом говорят эмиссионные распределения следующих кладов, происходящих с территории Волжской Булгарии.</w:t>
      </w:r>
    </w:p>
    <w:p w14:paraId="286A652D" w14:textId="77777777" w:rsidR="00CD484C" w:rsidRDefault="00CD484C">
      <w:pPr>
        <w:ind w:firstLine="397"/>
        <w:jc w:val="both"/>
        <w:rPr>
          <w:sz w:val="20"/>
          <w:szCs w:val="16"/>
        </w:rPr>
      </w:pPr>
      <w:r>
        <w:rPr>
          <w:sz w:val="20"/>
          <w:szCs w:val="16"/>
        </w:rPr>
        <w:t xml:space="preserve">Болгары 1895 г. (Марков А.К. 1910. – С. 137, № 10). 60 целых и 10 обломков. Диапазон чеканки: аббасидский дирхем б/города, 253 г. 359/969-970 (аш-Шаш). География чеканки: аш-Шаш-17 экз., Самарканд – 20, Андераб – 3, Ферава – 2 , Балх – 2. /Рис. 1, </w:t>
      </w:r>
      <w:r>
        <w:rPr>
          <w:i/>
          <w:sz w:val="20"/>
          <w:szCs w:val="16"/>
        </w:rPr>
        <w:t>7</w:t>
      </w:r>
      <w:r>
        <w:rPr>
          <w:sz w:val="20"/>
          <w:szCs w:val="16"/>
        </w:rPr>
        <w:t>/.</w:t>
      </w:r>
    </w:p>
    <w:p w14:paraId="14B835EF" w14:textId="214A1A97" w:rsidR="00CD484C" w:rsidRDefault="00395416">
      <w:pPr>
        <w:ind w:firstLine="397"/>
        <w:jc w:val="both"/>
        <w:rPr>
          <w:spacing w:val="-4"/>
          <w:sz w:val="20"/>
          <w:szCs w:val="16"/>
        </w:rPr>
      </w:pPr>
      <w:r>
        <w:rPr>
          <w:noProof/>
          <w:spacing w:val="-4"/>
          <w:sz w:val="20"/>
          <w:szCs w:val="16"/>
        </w:rPr>
        <mc:AlternateContent>
          <mc:Choice Requires="wps">
            <w:drawing>
              <wp:anchor distT="0" distB="0" distL="114300" distR="114300" simplePos="0" relativeHeight="251634176" behindDoc="0" locked="1" layoutInCell="1" allowOverlap="1" wp14:anchorId="1DB32EF3" wp14:editId="22A14E6B">
                <wp:simplePos x="0" y="0"/>
                <wp:positionH relativeFrom="column">
                  <wp:posOffset>0</wp:posOffset>
                </wp:positionH>
                <wp:positionV relativeFrom="paragraph">
                  <wp:posOffset>-252730</wp:posOffset>
                </wp:positionV>
                <wp:extent cx="4095750" cy="186690"/>
                <wp:effectExtent l="0" t="1270" r="3810" b="2540"/>
                <wp:wrapNone/>
                <wp:docPr id="1649148645"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E17C9C"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0876591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32EF3" id="Text Box 189" o:spid="_x0000_s1040" type="#_x0000_t202" style="position:absolute;left:0;text-align:left;margin-left:0;margin-top:-19.9pt;width:322.5pt;height:14.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IF7wEAAMIDAAAOAAAAZHJzL2Uyb0RvYy54bWysU8Fu2zAMvQ/YPwi6L3aKNmu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vMxvrj5eUUpSbnm9Wt2kqWSimKsd+vBZQc9iUHKkoSZ0cXjwIXYjivlKfMyD0fVOG5M22FZb&#10;g+wgyAC79CUCr64ZGy9biGUTYjxJNCOziWMYq5Hpmrq8jBiRdgX1kYgjTMaiH4GCDvA3ZwOZquT+&#10;116g4sx8sSRedOAc4BxUcyCspNKSB86mcBsmp+4d6rYj5Gk8Fu5I4EYn7i9dnPoloyRJTqaOTvx7&#10;n269/HqbP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tMkIF7wEAAMIDAAAOAAAAAAAAAAAAAAAAAC4CAABkcnMvZTJv&#10;RG9jLnhtbFBLAQItABQABgAIAAAAIQCnTgMH3gAAAAgBAAAPAAAAAAAAAAAAAAAAAEkEAABkcnMv&#10;ZG93bnJldi54bWxQSwUGAAAAAAQABADzAAAAVAUAAAAA&#10;" stroked="f">
                <v:textbox inset="0,0,0,0">
                  <w:txbxContent>
                    <w:p w14:paraId="7FE17C9C"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08765919" w14:textId="77777777" w:rsidR="00AE2133" w:rsidRDefault="00AE2133">
                      <w:pPr>
                        <w:rPr>
                          <w:b/>
                          <w:bCs/>
                          <w:sz w:val="2"/>
                          <w:u w:val="single"/>
                        </w:rPr>
                      </w:pPr>
                    </w:p>
                  </w:txbxContent>
                </v:textbox>
                <w10:anchorlock/>
              </v:shape>
            </w:pict>
          </mc:Fallback>
        </mc:AlternateContent>
      </w:r>
      <w:r w:rsidR="00CD484C">
        <w:rPr>
          <w:spacing w:val="-4"/>
          <w:sz w:val="20"/>
          <w:szCs w:val="16"/>
        </w:rPr>
        <w:t xml:space="preserve">Остановимся на кладе, найденном на Семеновском  I селище в несколько приемов, благодаря  археологическим разведкам Е.П. Казакова (Фёдоров-Давыдов Г.А., 1988. – С. 46, № 49; Валеев Р.М., 1995. – С. 73; 145–146, табл. VIII). /Рис.1, </w:t>
      </w:r>
      <w:r w:rsidR="00CD484C">
        <w:rPr>
          <w:i/>
          <w:spacing w:val="-4"/>
          <w:sz w:val="20"/>
          <w:szCs w:val="16"/>
        </w:rPr>
        <w:t>8</w:t>
      </w:r>
      <w:r w:rsidR="00CD484C">
        <w:rPr>
          <w:spacing w:val="-4"/>
          <w:sz w:val="20"/>
          <w:szCs w:val="16"/>
        </w:rPr>
        <w:t>/. Помимо саманидских монет в кладе отмечено присутствие медных фельсов и датский денарий: Свен Эстрегусен  (1047–1075). Нами принимается во внимание 91 определяемая восточная серебряная монета. Данная составляющая клада характеризуется двумя младшими монетами, выпущенные в Самарканде в 367/977–978 гг.,</w:t>
      </w:r>
      <w:r w:rsidR="00CD484C">
        <w:rPr>
          <w:rStyle w:val="a6"/>
          <w:spacing w:val="-4"/>
          <w:sz w:val="20"/>
          <w:szCs w:val="16"/>
        </w:rPr>
        <w:footnoteReference w:customMarkFollows="1" w:id="20"/>
        <w:t>4</w:t>
      </w:r>
      <w:r w:rsidR="00CD484C">
        <w:rPr>
          <w:spacing w:val="-4"/>
          <w:sz w:val="20"/>
          <w:szCs w:val="16"/>
        </w:rPr>
        <w:t xml:space="preserve"> а также наличием очень узкого хронологического </w:t>
      </w:r>
      <w:r w:rsidR="00CD484C">
        <w:rPr>
          <w:spacing w:val="-4"/>
          <w:sz w:val="20"/>
          <w:szCs w:val="16"/>
        </w:rPr>
        <w:lastRenderedPageBreak/>
        <w:t>диапазона эмиссии, когда 96, 7% его состава были выпущены монетчиками Шаша, Самарканда и Бухары в 970-х гг. Х в. Наличие медных фельсов, многочисленных обломков в кладе и насыщенность его состава новейшими монетами позволяет высказать предположение о том, что он, так же как и клад, найденный у ж.д. станции Красный десант ситуационно отражает  денежное обращение Маверанахра, но уже в 70-х гг. Х в. Однако, если в Краснодесантском кладе младшие монеты, совпадают с наибольшим количеством монет монетного двора, каковым является Самарканд /Рис. 2/, что позволило заключить, данный клад выпал из монетного потока, стартовавшего в Самарканде (Хан Н.А., 2001. – С. 35), то в Семеновском кладе при более чем двукратном превалировании шашских монет по сравнению с монетами самаркандских (59 к 25) /Рис. 3/ – монеты  самаркандского двора являются здесь младшими. Их две – 367/977–78 гг., что предполагает дальнейшее накопление статистического материала с целью выяснения роли отдельно взятого монетного двора Саманидов в насыщении денежных рынков элитным серебром. Практически полное преобладание младшей ХГ клада – 96,69% позволяет предположить, что данный депозит отражает непосредственно денежное обращение Маверанахра.</w:t>
      </w:r>
    </w:p>
    <w:p w14:paraId="79F9C958" w14:textId="77777777" w:rsidR="00CD484C" w:rsidRDefault="00CD484C">
      <w:pPr>
        <w:ind w:firstLine="397"/>
        <w:jc w:val="both"/>
        <w:rPr>
          <w:spacing w:val="-4"/>
          <w:sz w:val="20"/>
          <w:szCs w:val="16"/>
        </w:rPr>
      </w:pPr>
    </w:p>
    <w:p w14:paraId="7EAE25A8" w14:textId="586369C6" w:rsidR="00CD484C" w:rsidRDefault="00395416">
      <w:pPr>
        <w:jc w:val="center"/>
      </w:pPr>
      <w:r>
        <w:rPr>
          <w:noProof/>
        </w:rPr>
        <w:drawing>
          <wp:inline distT="0" distB="0" distL="0" distR="0" wp14:anchorId="26314B81" wp14:editId="78726A42">
            <wp:extent cx="1953895" cy="121920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7A56C" w14:textId="77777777" w:rsidR="00CD484C" w:rsidRDefault="00CD484C">
      <w:pPr>
        <w:jc w:val="center"/>
      </w:pPr>
    </w:p>
    <w:p w14:paraId="46C22921" w14:textId="77777777" w:rsidR="00CD484C" w:rsidRDefault="00CD484C">
      <w:pPr>
        <w:jc w:val="center"/>
        <w:rPr>
          <w:i/>
          <w:iCs/>
          <w:sz w:val="18"/>
          <w:szCs w:val="16"/>
        </w:rPr>
      </w:pPr>
      <w:r>
        <w:rPr>
          <w:b/>
          <w:bCs/>
          <w:i/>
          <w:iCs/>
          <w:sz w:val="18"/>
        </w:rPr>
        <w:t>Рис. 2.</w:t>
      </w:r>
      <w:r>
        <w:rPr>
          <w:i/>
          <w:iCs/>
          <w:sz w:val="18"/>
        </w:rPr>
        <w:t xml:space="preserve"> Клад Красный десант 1970-е годы. Хронолого-эмиссионное распределение. </w:t>
      </w:r>
      <w:r>
        <w:rPr>
          <w:i/>
          <w:iCs/>
          <w:sz w:val="18"/>
        </w:rPr>
        <w:br/>
        <w:t>(11 монет по Г.А. Федорову-Давыдову в %%)</w:t>
      </w:r>
    </w:p>
    <w:p w14:paraId="21B0AB6F" w14:textId="42D3D997" w:rsidR="00CD484C" w:rsidRDefault="00395416">
      <w:pPr>
        <w:jc w:val="center"/>
        <w:rPr>
          <w:sz w:val="20"/>
          <w:szCs w:val="16"/>
        </w:rPr>
      </w:pPr>
      <w:r>
        <w:rPr>
          <w:noProof/>
        </w:rPr>
        <w:lastRenderedPageBreak/>
        <w:drawing>
          <wp:inline distT="0" distB="0" distL="0" distR="0" wp14:anchorId="4C2A5C05" wp14:editId="260FAFB1">
            <wp:extent cx="3886200" cy="2084705"/>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AD9001" w14:textId="77777777" w:rsidR="00CD484C" w:rsidRDefault="00CD484C">
      <w:pPr>
        <w:jc w:val="center"/>
        <w:rPr>
          <w:b/>
          <w:bCs/>
          <w:i/>
          <w:iCs/>
          <w:sz w:val="8"/>
          <w:szCs w:val="16"/>
        </w:rPr>
      </w:pPr>
    </w:p>
    <w:p w14:paraId="4A7A1F33" w14:textId="77777777" w:rsidR="00CD484C" w:rsidRDefault="00CD484C">
      <w:pPr>
        <w:jc w:val="center"/>
        <w:rPr>
          <w:i/>
          <w:iCs/>
          <w:sz w:val="18"/>
          <w:szCs w:val="16"/>
        </w:rPr>
      </w:pPr>
      <w:r>
        <w:rPr>
          <w:b/>
          <w:bCs/>
          <w:i/>
          <w:iCs/>
          <w:sz w:val="18"/>
          <w:szCs w:val="16"/>
        </w:rPr>
        <w:t>Рис. 3.</w:t>
      </w:r>
      <w:r>
        <w:rPr>
          <w:i/>
          <w:iCs/>
          <w:sz w:val="18"/>
          <w:szCs w:val="16"/>
        </w:rPr>
        <w:t xml:space="preserve"> Семеновский клад 1976–1983 гг. Хронолого-эмиссионное распределение </w:t>
      </w:r>
      <w:r>
        <w:rPr>
          <w:i/>
          <w:iCs/>
          <w:sz w:val="18"/>
          <w:szCs w:val="16"/>
        </w:rPr>
        <w:br/>
        <w:t>(91 монет по Г.А. Федерову-Давыдову)</w:t>
      </w:r>
    </w:p>
    <w:p w14:paraId="4A0BC124" w14:textId="77777777" w:rsidR="00CD484C" w:rsidRDefault="00CD484C">
      <w:pPr>
        <w:ind w:firstLine="397"/>
        <w:jc w:val="both"/>
        <w:rPr>
          <w:sz w:val="16"/>
          <w:szCs w:val="16"/>
        </w:rPr>
      </w:pPr>
    </w:p>
    <w:p w14:paraId="3FFD6535" w14:textId="77777777" w:rsidR="00CD484C" w:rsidRDefault="00CD484C">
      <w:pPr>
        <w:ind w:firstLine="397"/>
        <w:jc w:val="both"/>
        <w:rPr>
          <w:spacing w:val="-2"/>
          <w:sz w:val="20"/>
          <w:szCs w:val="16"/>
        </w:rPr>
      </w:pPr>
      <w:r>
        <w:rPr>
          <w:spacing w:val="-2"/>
          <w:sz w:val="20"/>
          <w:szCs w:val="16"/>
        </w:rPr>
        <w:t xml:space="preserve">Денежно-монетные рынки Восточной Европы, получившие общую характеристику в работах А.В. Фомина, были образованы  монетными массами поступившие  как через Волжской Булгарии, так и через Хазарию. При этом Фомин заметил, что здесь фонд быстро обновлялся за счет непрекращающейся транзитной торговли (Фомин А.В., 1995. – С. 72). Экстремумы графиков хронологических распределений кладов выпавших на территории Волжской Булгарии в 980-е годы: Татарский Толкиш (985); Старое Альметьево (985); Лобовка (983), (Фомин А.В, 1995. – С. 68–69, №№ 2–4) свидетельствуют о том, что монеты 970-х гг. определяли состав денежного обращения этой территории. Материалы, приведенные выше, позволяют предположить, что резкое увеличение монет 970-х годов в составе денежного обращения Волжской Булгарии связано со всплеском чеканки на монетных дворах Маверанахра, последовавшего после некоторого преодоления «серебряного кризиса», а также задержку населением  Среднего Поволжья монеты этого десятилетия в составе своего денежного обращения. </w:t>
      </w:r>
    </w:p>
    <w:p w14:paraId="77208801" w14:textId="3FEB0D6A" w:rsidR="00CD484C" w:rsidRDefault="00CD484C">
      <w:pPr>
        <w:ind w:firstLine="397"/>
        <w:jc w:val="both"/>
        <w:rPr>
          <w:spacing w:val="-4"/>
          <w:sz w:val="20"/>
          <w:szCs w:val="16"/>
        </w:rPr>
      </w:pPr>
      <w:r>
        <w:rPr>
          <w:spacing w:val="-4"/>
          <w:sz w:val="20"/>
          <w:szCs w:val="16"/>
        </w:rPr>
        <w:t xml:space="preserve">Обращает внимание, что в составе Семеновского клада присутствует монета /год-?, город-?/, выпущенная от имени эмира Му’из ад-Даулы/Абул Хасан Ахмад (320/931–932 – 348/959–960)/ гг., который управлял Хузистаном и Багдадом, затем его сменил сын Изз ад-Даула /Абул Мансур Бахтиар/ (331–367/942–378) (Zambaur E., 1955. Avec, Tabl., Q; Янина С.А., 1956. – С. 200–201). Бувейхидский дирхем из Семеновского клада, поэтому, младшей монетой клада не является. При обращении к публикации Б.Д. Кочнева (1996, № 7, 11) нетрудно заметить, что на территории современного Узбекистана имеются клады саманидских дирхемов с наличием в их составе «западных» монет, выступающими здесь в качестве примеси (в том числе  и битая от имени </w:t>
      </w:r>
      <w:r>
        <w:rPr>
          <w:spacing w:val="-4"/>
          <w:sz w:val="20"/>
          <w:szCs w:val="16"/>
        </w:rPr>
        <w:lastRenderedPageBreak/>
        <w:t>на</w:t>
      </w:r>
      <w:r w:rsidR="00395416">
        <w:rPr>
          <w:noProof/>
          <w:spacing w:val="-4"/>
          <w:sz w:val="20"/>
          <w:szCs w:val="16"/>
        </w:rPr>
        <mc:AlternateContent>
          <mc:Choice Requires="wps">
            <w:drawing>
              <wp:anchor distT="0" distB="0" distL="114300" distR="114300" simplePos="0" relativeHeight="251635200" behindDoc="0" locked="1" layoutInCell="1" allowOverlap="1" wp14:anchorId="7E1CD8C5" wp14:editId="00545FC7">
                <wp:simplePos x="0" y="0"/>
                <wp:positionH relativeFrom="column">
                  <wp:posOffset>0</wp:posOffset>
                </wp:positionH>
                <wp:positionV relativeFrom="paragraph">
                  <wp:posOffset>-252730</wp:posOffset>
                </wp:positionV>
                <wp:extent cx="4095750" cy="186690"/>
                <wp:effectExtent l="0" t="0" r="2540" b="0"/>
                <wp:wrapNone/>
                <wp:docPr id="112566892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7157C"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49C01056"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CD8C5" id="Text Box 191" o:spid="_x0000_s1041" type="#_x0000_t202" style="position:absolute;left:0;text-align:left;margin-left:0;margin-top:-19.9pt;width:322.5pt;height:14.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ewOhQ7wEAAMIDAAAOAAAAAAAAAAAAAAAAAC4CAABkcnMvZTJv&#10;RG9jLnhtbFBLAQItABQABgAIAAAAIQCnTgMH3gAAAAgBAAAPAAAAAAAAAAAAAAAAAEkEAABkcnMv&#10;ZG93bnJldi54bWxQSwUGAAAAAAQABADzAAAAVAUAAAAA&#10;" stroked="f">
                <v:textbox inset="0,0,0,0">
                  <w:txbxContent>
                    <w:p w14:paraId="4BB7157C"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49C01056" w14:textId="77777777" w:rsidR="00AE2133" w:rsidRDefault="00AE2133">
                      <w:pPr>
                        <w:rPr>
                          <w:b/>
                          <w:bCs/>
                          <w:sz w:val="2"/>
                          <w:u w:val="single"/>
                        </w:rPr>
                      </w:pPr>
                    </w:p>
                  </w:txbxContent>
                </v:textbox>
                <w10:anchorlock/>
              </v:shape>
            </w:pict>
          </mc:Fallback>
        </mc:AlternateContent>
      </w:r>
      <w:r>
        <w:rPr>
          <w:spacing w:val="-4"/>
          <w:sz w:val="20"/>
          <w:szCs w:val="16"/>
        </w:rPr>
        <w:t xml:space="preserve">званного правителя – с датой 342 г.х., выпущенной на монетном дворе Рамхурмуза). Это позволяет утверждать, что бувейхидский  и зияридский чеканы играли в денежном обращении Маверанахра вспомогательную роль. Бувейхидский дирхем Семеновского клада 1983 г., таким образом, мог попасть в устье Камы вместе с саманидскими монетами. </w:t>
      </w:r>
    </w:p>
    <w:p w14:paraId="360E81D4" w14:textId="77777777" w:rsidR="00CD484C" w:rsidRDefault="00CD484C">
      <w:pPr>
        <w:ind w:firstLine="397"/>
        <w:jc w:val="both"/>
        <w:rPr>
          <w:spacing w:val="-4"/>
          <w:sz w:val="20"/>
          <w:szCs w:val="16"/>
        </w:rPr>
      </w:pPr>
      <w:r>
        <w:rPr>
          <w:spacing w:val="-4"/>
          <w:sz w:val="20"/>
          <w:szCs w:val="16"/>
        </w:rPr>
        <w:t>Наконец, еще одна монета Семеновского клада – датский денарий: Свен Эстрегусен  (1047–1075). Младшие монеты куфической части клада датируется 367/977–78 гг. Хронологический разрыв между ними и датским денарием слишком велик – не менее 70 лет, тогда как последние куфические монеты удерживались в русском денежном обращении, что установлено Р.Р. Фасмером и с чем согласился В.Л. Янин, 35 лет (Янин В.Л., 1956. – С. 70). Поэтому, данный денарий не может, являться младшей монетой в Семеновском кладе и, скорее всего, отражает более поздний этап обживания памятника, где найден рассмотренный выше клад и западноевропейская монета.</w:t>
      </w:r>
    </w:p>
    <w:p w14:paraId="65977868" w14:textId="77777777" w:rsidR="00CD484C" w:rsidRDefault="00CD484C">
      <w:pPr>
        <w:ind w:firstLine="397"/>
        <w:jc w:val="both"/>
        <w:rPr>
          <w:spacing w:val="-2"/>
          <w:sz w:val="20"/>
          <w:szCs w:val="16"/>
        </w:rPr>
      </w:pPr>
      <w:r>
        <w:rPr>
          <w:spacing w:val="-2"/>
          <w:sz w:val="20"/>
          <w:szCs w:val="16"/>
        </w:rPr>
        <w:t>Обратившись в кладам Азербайджана, разработанных Е.А. Пахомовым (1966. – С. 34–62, №№ 2106 и 2107), заметим, что в денежном обращении Закавказья саманидские дирхемы также участвуют в качестве примеси</w:t>
      </w:r>
      <w:r>
        <w:rPr>
          <w:rStyle w:val="a6"/>
          <w:spacing w:val="-2"/>
          <w:sz w:val="20"/>
          <w:szCs w:val="16"/>
        </w:rPr>
        <w:footnoteReference w:customMarkFollows="1" w:id="21"/>
        <w:t>5</w:t>
      </w:r>
      <w:r>
        <w:rPr>
          <w:spacing w:val="-2"/>
          <w:sz w:val="20"/>
          <w:szCs w:val="16"/>
        </w:rPr>
        <w:t xml:space="preserve">. В наиболее представительном кладе Яз-Кираги 1958 г. /Рис. 1, </w:t>
      </w:r>
      <w:r>
        <w:rPr>
          <w:i/>
          <w:spacing w:val="-2"/>
          <w:sz w:val="20"/>
          <w:szCs w:val="16"/>
        </w:rPr>
        <w:t>9</w:t>
      </w:r>
      <w:r>
        <w:rPr>
          <w:spacing w:val="-2"/>
          <w:sz w:val="20"/>
          <w:szCs w:val="16"/>
        </w:rPr>
        <w:t>/, не считая «старшую» саманидскую монету 283 г.х. аш-Шаш,  саманидский «ряд» начинается с самаркандской монеты 305/915–916 гг. – это позволяет констатировать, что  андерабский дирхем  даже в период интенсивного всплеска чеканки, отложившегося на средней Волге 295–304 г., лишь эпизодически проникал в Закавказье, и даже после начала постепенного угасания андерабской эмиссии весь его поток в Европу шел через Маверанахр. Кроме того, поступление афганской монеты в Закавказье осуществлялось самостоятельно и не было связано в движением саманидского серебра в Закавказье, начавшегося с 305/916–917 гг. и наиболее усиливавшееся с 313/924–925 г. По данным закавказских кладов, прежде всего, Яз-Кираги 1958 г. из 30 дирхемов саманидской чеканки (исключая чекан Андераба) 16, т.е. абсолютное большинство представлено самаркандским монетным двором, тогда как его основной конкурент монетный двор аш-Шаш представлен эпизодически всего 6 дирхемами начиная с 319 и 320 г.х.</w:t>
      </w:r>
      <w:r>
        <w:rPr>
          <w:rStyle w:val="a6"/>
          <w:spacing w:val="-2"/>
          <w:sz w:val="20"/>
          <w:szCs w:val="16"/>
        </w:rPr>
        <w:footnoteReference w:customMarkFollows="1" w:id="22"/>
        <w:t>6</w:t>
      </w:r>
    </w:p>
    <w:p w14:paraId="7EF3182D" w14:textId="77777777" w:rsidR="00CD484C" w:rsidRDefault="00CD484C">
      <w:pPr>
        <w:ind w:firstLine="397"/>
        <w:jc w:val="both"/>
        <w:rPr>
          <w:sz w:val="20"/>
          <w:szCs w:val="16"/>
        </w:rPr>
      </w:pPr>
      <w:r>
        <w:rPr>
          <w:sz w:val="20"/>
          <w:szCs w:val="16"/>
        </w:rPr>
        <w:t>Представляется, что ближняя циркумкаспийская зона в первой половине Х в. была сферой влияния дирхемов самаркандской эмиссии.</w:t>
      </w:r>
    </w:p>
    <w:p w14:paraId="4EF373DA" w14:textId="77777777" w:rsidR="00CD484C" w:rsidRDefault="00CD484C">
      <w:pPr>
        <w:ind w:firstLine="397"/>
        <w:jc w:val="both"/>
        <w:rPr>
          <w:sz w:val="20"/>
          <w:szCs w:val="16"/>
        </w:rPr>
      </w:pPr>
      <w:r>
        <w:rPr>
          <w:sz w:val="20"/>
          <w:szCs w:val="16"/>
        </w:rPr>
        <w:t>Эмиссионное распределение кладов позволяет выявить и другой тип памятников в Вятско-Камском ареале выпадения восточного, византийского и русского серебра.</w:t>
      </w:r>
    </w:p>
    <w:p w14:paraId="6CB0559F" w14:textId="77777777" w:rsidR="00CD484C" w:rsidRDefault="00CD484C">
      <w:pPr>
        <w:ind w:firstLine="397"/>
        <w:jc w:val="both"/>
        <w:rPr>
          <w:sz w:val="20"/>
          <w:szCs w:val="16"/>
        </w:rPr>
      </w:pPr>
      <w:r>
        <w:rPr>
          <w:sz w:val="20"/>
          <w:szCs w:val="16"/>
        </w:rPr>
        <w:lastRenderedPageBreak/>
        <w:t xml:space="preserve">Выделим прежде всего клад 1862 г., найденный в с. Балымеры Спасского уезда Казанской губернии (Марков А.К., 1910. – С. 10, № 53), где все 48 монет и несколько обломков были бувейхидскими, т.е. отражают эмиссионную деятельность монетных дворов Ирана второй половины – конца Х в. /Рис. 1, </w:t>
      </w:r>
      <w:r>
        <w:rPr>
          <w:i/>
          <w:sz w:val="20"/>
          <w:szCs w:val="16"/>
        </w:rPr>
        <w:t>11</w:t>
      </w:r>
      <w:r>
        <w:rPr>
          <w:sz w:val="20"/>
          <w:szCs w:val="16"/>
        </w:rPr>
        <w:t>/.</w:t>
      </w:r>
    </w:p>
    <w:p w14:paraId="43D1B663" w14:textId="77777777" w:rsidR="00CD484C" w:rsidRDefault="00CD484C">
      <w:pPr>
        <w:ind w:firstLine="397"/>
        <w:jc w:val="both"/>
        <w:rPr>
          <w:spacing w:val="-3"/>
          <w:sz w:val="20"/>
          <w:szCs w:val="16"/>
        </w:rPr>
      </w:pPr>
      <w:r>
        <w:rPr>
          <w:spacing w:val="-3"/>
          <w:sz w:val="20"/>
          <w:szCs w:val="16"/>
        </w:rPr>
        <w:t>Появление такого клада, в составе которого находятся только так называемые «западные» монеты, свидетельствует о прохождении монет по пути Каспий – Волга и убеждает в том, что  существовало 2 пути поступления монеты в Волжскую Булгарию, т.е. к продолжавшему существовать сухопутному пути из Маверанахра в Хазарию и Волжскую Булгарию присоединился и путь в те же страны по маршруту Южный Прикаспий – Волга. Всего же, как отмечалось выше «чистых» бувейхидских клада на территории Волжской Булгарии было найдено три. В то же время существуют и другие памятники, отражающие денежное обращение в самой Волжской Булгарии.</w:t>
      </w:r>
    </w:p>
    <w:p w14:paraId="5F4ED718" w14:textId="77777777" w:rsidR="00CD484C" w:rsidRDefault="00CD484C">
      <w:pPr>
        <w:ind w:firstLine="397"/>
        <w:jc w:val="both"/>
        <w:rPr>
          <w:sz w:val="20"/>
          <w:szCs w:val="16"/>
        </w:rPr>
      </w:pPr>
      <w:r>
        <w:rPr>
          <w:sz w:val="20"/>
          <w:szCs w:val="16"/>
        </w:rPr>
        <w:t xml:space="preserve">Чистопольский клад Казанской губернии 1885 г. (Марков А.К. 1910. – С. 9, № 50) 52 монеты.  Ст.монета – Самарканд 303/915-916, младшая монета, эмитирована. в Джурджане в 384/994  г. Все новые монеты (50%) отчеканены Бувейхидами (23) и Зияридами (3), т.е. в прикаспийских и центральных областях бывшего халифата, тогда как старшие монеты клада  выпущены в Маверанахре. /Рис. 1, </w:t>
      </w:r>
      <w:r>
        <w:rPr>
          <w:i/>
          <w:sz w:val="20"/>
          <w:szCs w:val="16"/>
        </w:rPr>
        <w:t>12</w:t>
      </w:r>
      <w:r>
        <w:rPr>
          <w:sz w:val="20"/>
          <w:szCs w:val="16"/>
        </w:rPr>
        <w:t xml:space="preserve">/. </w:t>
      </w:r>
    </w:p>
    <w:p w14:paraId="6E9E9978" w14:textId="77777777" w:rsidR="00CD484C" w:rsidRDefault="00CD484C">
      <w:pPr>
        <w:ind w:firstLine="397"/>
        <w:jc w:val="both"/>
        <w:rPr>
          <w:spacing w:val="-2"/>
          <w:sz w:val="20"/>
          <w:szCs w:val="16"/>
        </w:rPr>
      </w:pPr>
      <w:r>
        <w:rPr>
          <w:spacing w:val="-2"/>
          <w:sz w:val="20"/>
          <w:szCs w:val="16"/>
        </w:rPr>
        <w:t xml:space="preserve">Клад, найденный  в 1974 г. за валом второй столицы Волжской Булгарии – городище Сувар (Фёдоров-Давыдов Г.А., 1985а. – С. 45, № 21),  состоит из 21 монеты. Ст.монета – 355/965–966 г. эмитирована в аш-Шаше,  младшая монета 378/988–989 г. их две: буидская, город (?). и саманидская, выпущенная в Бухаре. Из  определяемых 12 – саманидские, 6  – выпущены Бувейхидами и Зияридами, 3 - пр. География монетных дворов распределяется следующим образом. Саманидские отчеканены в аш-Шаше – 1; Самарканде, Бухаре, Нисабуре по – 2, у 5 монет центры чеканки не устанавливаются. Бувейхидские и Зияридские – в Амуле – 1, Сариййе (?) – 1, Джурджане – 1. У 3-х «западных» монет города определению не поддаются. При узком хронологическом диапазоне клада – 23 года  – все новейшие монеты отчеканены как в прикаспийских провинциях, так и в Маверанахре, причем в 980-х гг. – 63,63% монет при незначительном преобладании саманидских («восточных») над буидскими («западных») дирхемов. /Рис. 1, </w:t>
      </w:r>
      <w:r>
        <w:rPr>
          <w:i/>
          <w:spacing w:val="-2"/>
          <w:sz w:val="20"/>
          <w:szCs w:val="16"/>
        </w:rPr>
        <w:t>13</w:t>
      </w:r>
      <w:r>
        <w:rPr>
          <w:spacing w:val="-2"/>
          <w:sz w:val="20"/>
          <w:szCs w:val="16"/>
        </w:rPr>
        <w:t>/.</w:t>
      </w:r>
    </w:p>
    <w:p w14:paraId="5572840F" w14:textId="2AD94662" w:rsidR="00CD484C" w:rsidRDefault="00CD484C">
      <w:pPr>
        <w:ind w:firstLine="397"/>
        <w:jc w:val="both"/>
        <w:rPr>
          <w:sz w:val="20"/>
          <w:szCs w:val="16"/>
        </w:rPr>
      </w:pPr>
      <w:r>
        <w:rPr>
          <w:sz w:val="20"/>
          <w:szCs w:val="16"/>
        </w:rPr>
        <w:t>Графическая интерпретация эмиссионного распределения монет данного клада /Рис. 4/ позволяет отметить полное отсутствие саманидских монет чекана 970-х годов, обильно представленных в Семеновском кладе – они представлены монетой, выпущенной в Сари</w:t>
      </w:r>
      <w:r>
        <w:rPr>
          <w:rStyle w:val="a6"/>
          <w:sz w:val="20"/>
          <w:szCs w:val="16"/>
        </w:rPr>
        <w:footnoteReference w:customMarkFollows="1" w:id="23"/>
        <w:t>7</w:t>
      </w:r>
      <w:r>
        <w:rPr>
          <w:sz w:val="20"/>
          <w:szCs w:val="16"/>
        </w:rPr>
        <w:t xml:space="preserve">. Можно с достаточной </w:t>
      </w:r>
      <w:r w:rsidR="00395416">
        <w:rPr>
          <w:noProof/>
          <w:sz w:val="20"/>
          <w:szCs w:val="16"/>
        </w:rPr>
        <w:lastRenderedPageBreak/>
        <mc:AlternateContent>
          <mc:Choice Requires="wps">
            <w:drawing>
              <wp:anchor distT="0" distB="0" distL="114300" distR="114300" simplePos="0" relativeHeight="251636224" behindDoc="0" locked="1" layoutInCell="1" allowOverlap="1" wp14:anchorId="33B4FC1F" wp14:editId="127EF066">
                <wp:simplePos x="0" y="0"/>
                <wp:positionH relativeFrom="column">
                  <wp:posOffset>0</wp:posOffset>
                </wp:positionH>
                <wp:positionV relativeFrom="paragraph">
                  <wp:posOffset>-252730</wp:posOffset>
                </wp:positionV>
                <wp:extent cx="4095750" cy="186690"/>
                <wp:effectExtent l="0" t="0" r="2540" b="0"/>
                <wp:wrapNone/>
                <wp:docPr id="1638379757"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5F1872"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2339C441"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4FC1F" id="Text Box 192" o:spid="_x0000_s1042" type="#_x0000_t202" style="position:absolute;left:0;text-align:left;margin-left:0;margin-top:-19.9pt;width:322.5pt;height:14.7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xeu7w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GupynTAS7RqaExFHmIxFPwIFHeAvzgYyVcXD&#10;z4NAxZn96Ei85MA5wDmo50A4SaUVj5xN4S5OTj14NG1HyNN4HNyTwNpk7s9dnPslo2RJzqZOTvxz&#10;n289/3rb3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L1xeu7wEAAMIDAAAOAAAAAAAAAAAAAAAAAC4CAABkcnMvZTJv&#10;RG9jLnhtbFBLAQItABQABgAIAAAAIQCnTgMH3gAAAAgBAAAPAAAAAAAAAAAAAAAAAEkEAABkcnMv&#10;ZG93bnJldi54bWxQSwUGAAAAAAQABADzAAAAVAUAAAAA&#10;" stroked="f">
                <v:textbox inset="0,0,0,0">
                  <w:txbxContent>
                    <w:p w14:paraId="685F1872"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2339C441" w14:textId="77777777" w:rsidR="00AE2133" w:rsidRDefault="00AE2133">
                      <w:pPr>
                        <w:rPr>
                          <w:b/>
                          <w:bCs/>
                          <w:sz w:val="2"/>
                          <w:u w:val="single"/>
                        </w:rPr>
                      </w:pPr>
                    </w:p>
                  </w:txbxContent>
                </v:textbox>
                <w10:anchorlock/>
              </v:shape>
            </w:pict>
          </mc:Fallback>
        </mc:AlternateContent>
      </w:r>
      <w:r>
        <w:rPr>
          <w:sz w:val="20"/>
          <w:szCs w:val="16"/>
        </w:rPr>
        <w:t>долей осторожности предположить, что саманидские дирхемы 970-х гг. прошли через Сувар транзитом и/или участвовали в пополнении монетного фонда других локальных рынков Волжской Булгарии.</w:t>
      </w:r>
    </w:p>
    <w:p w14:paraId="254109D8" w14:textId="77777777" w:rsidR="00CD484C" w:rsidRDefault="00CD484C">
      <w:pPr>
        <w:ind w:firstLine="397"/>
        <w:jc w:val="both"/>
        <w:rPr>
          <w:sz w:val="12"/>
          <w:szCs w:val="16"/>
        </w:rPr>
      </w:pPr>
    </w:p>
    <w:p w14:paraId="4B236781" w14:textId="2E9CF618" w:rsidR="00CD484C" w:rsidRDefault="00395416">
      <w:pPr>
        <w:jc w:val="center"/>
        <w:rPr>
          <w:sz w:val="20"/>
          <w:szCs w:val="16"/>
        </w:rPr>
      </w:pPr>
      <w:r>
        <w:rPr>
          <w:noProof/>
          <w:sz w:val="20"/>
          <w:szCs w:val="16"/>
        </w:rPr>
        <mc:AlternateContent>
          <mc:Choice Requires="wps">
            <w:drawing>
              <wp:anchor distT="0" distB="0" distL="114300" distR="114300" simplePos="0" relativeHeight="251613696" behindDoc="0" locked="0" layoutInCell="1" allowOverlap="1" wp14:anchorId="41390329" wp14:editId="014E298F">
                <wp:simplePos x="0" y="0"/>
                <wp:positionH relativeFrom="column">
                  <wp:posOffset>800100</wp:posOffset>
                </wp:positionH>
                <wp:positionV relativeFrom="paragraph">
                  <wp:posOffset>71755</wp:posOffset>
                </wp:positionV>
                <wp:extent cx="2514600" cy="457200"/>
                <wp:effectExtent l="0" t="0" r="2540" b="1270"/>
                <wp:wrapNone/>
                <wp:docPr id="103064087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BCF49" id="Rectangle 13" o:spid="_x0000_s1026" style="position:absolute;margin-left:63pt;margin-top:5.65pt;width:198pt;height:3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" stroked="f"/>
            </w:pict>
          </mc:Fallback>
        </mc:AlternateContent>
      </w:r>
      <w:r>
        <w:rPr>
          <w:noProof/>
          <w:sz w:val="20"/>
          <w:szCs w:val="16"/>
        </w:rPr>
        <w:drawing>
          <wp:inline distT="0" distB="0" distL="0" distR="0" wp14:anchorId="10190296" wp14:editId="396EC3DC">
            <wp:extent cx="3113405" cy="2040890"/>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469702" w14:textId="77777777" w:rsidR="00CD484C" w:rsidRDefault="00CD484C">
      <w:pPr>
        <w:ind w:firstLine="397"/>
        <w:jc w:val="both"/>
        <w:rPr>
          <w:sz w:val="18"/>
          <w:szCs w:val="16"/>
        </w:rPr>
      </w:pPr>
    </w:p>
    <w:p w14:paraId="371BE4B8" w14:textId="77777777" w:rsidR="00CD484C" w:rsidRDefault="00CD484C">
      <w:pPr>
        <w:jc w:val="center"/>
        <w:rPr>
          <w:i/>
          <w:iCs/>
          <w:sz w:val="18"/>
          <w:szCs w:val="16"/>
        </w:rPr>
      </w:pPr>
      <w:r>
        <w:rPr>
          <w:b/>
          <w:bCs/>
          <w:i/>
          <w:iCs/>
          <w:sz w:val="18"/>
          <w:szCs w:val="16"/>
        </w:rPr>
        <w:t>Рис. 4.</w:t>
      </w:r>
      <w:r>
        <w:rPr>
          <w:i/>
          <w:iCs/>
          <w:sz w:val="18"/>
          <w:szCs w:val="16"/>
        </w:rPr>
        <w:t xml:space="preserve"> Суварский клад. Хронолого-эмиссионное распределение</w:t>
      </w:r>
    </w:p>
    <w:p w14:paraId="44223B23" w14:textId="77777777" w:rsidR="00CD484C" w:rsidRDefault="00CD484C">
      <w:pPr>
        <w:ind w:firstLine="397"/>
        <w:jc w:val="both"/>
        <w:rPr>
          <w:sz w:val="12"/>
          <w:szCs w:val="16"/>
        </w:rPr>
      </w:pPr>
    </w:p>
    <w:p w14:paraId="704394D0" w14:textId="77777777" w:rsidR="00CD484C" w:rsidRDefault="00CD484C">
      <w:pPr>
        <w:ind w:firstLine="397"/>
        <w:jc w:val="both"/>
        <w:rPr>
          <w:sz w:val="20"/>
          <w:szCs w:val="16"/>
        </w:rPr>
      </w:pPr>
      <w:r>
        <w:rPr>
          <w:sz w:val="20"/>
          <w:szCs w:val="16"/>
        </w:rPr>
        <w:t>Согласно периодизации Янина – Фасмера, именно четвертый период обращения куфических дирхемов в Восточной Европе (960–1012) отличается  присутствием монет Бувейхидов и Зияридов.</w:t>
      </w:r>
    </w:p>
    <w:p w14:paraId="6BB0ED5D" w14:textId="77777777" w:rsidR="00CD484C" w:rsidRDefault="00CD484C">
      <w:pPr>
        <w:ind w:firstLine="397"/>
        <w:jc w:val="both"/>
        <w:rPr>
          <w:sz w:val="20"/>
          <w:szCs w:val="16"/>
        </w:rPr>
      </w:pPr>
      <w:r>
        <w:rPr>
          <w:sz w:val="20"/>
          <w:szCs w:val="16"/>
        </w:rPr>
        <w:t>Материалы Суварского клада, как и предыдущего – Чистопольского, насыщенные монетами «западной» эмиссии, позволяет заключить о том, что на денежном рынке Волжской Булгарии в указанном периоде обращения куфической монеты происходило смешение монетных масс, поступавших сюда как по сухопутному, так и волжскому пути, причем из монетных фондов прямо отражающие денежное обращение стран-экспортеров – будь то Бувейхидов – Зияйридов или  Саманидов</w:t>
      </w:r>
      <w:r>
        <w:rPr>
          <w:rStyle w:val="a6"/>
          <w:sz w:val="20"/>
          <w:szCs w:val="16"/>
        </w:rPr>
        <w:footnoteReference w:customMarkFollows="1" w:id="24"/>
        <w:t>8</w:t>
      </w:r>
      <w:r>
        <w:rPr>
          <w:sz w:val="20"/>
          <w:szCs w:val="16"/>
        </w:rPr>
        <w:t>.</w:t>
      </w:r>
    </w:p>
    <w:p w14:paraId="7D8F0816" w14:textId="77777777" w:rsidR="00CD484C" w:rsidRDefault="00CD484C">
      <w:pPr>
        <w:ind w:firstLine="397"/>
        <w:jc w:val="both"/>
        <w:rPr>
          <w:spacing w:val="2"/>
          <w:sz w:val="20"/>
          <w:szCs w:val="16"/>
        </w:rPr>
      </w:pPr>
      <w:r>
        <w:rPr>
          <w:spacing w:val="2"/>
          <w:sz w:val="20"/>
          <w:szCs w:val="16"/>
        </w:rPr>
        <w:t>Таким образом, наличие «чистых» саманидских и «чистых» бувейхидских кладов в Волжской Булгарии, демонстрирует о  разных путях поступления восточной монеты, начиная с 960-х гг. Х в. Здесь на первом денежном рынке Восточной Европы происходил  миксинг монетных масс и образование монетного фонда, откуда купцы Древней Руси, а через их посредство население  циркумбалтийской зоны получало валютный металл.</w:t>
      </w:r>
    </w:p>
    <w:p w14:paraId="73362535" w14:textId="77777777" w:rsidR="00CD484C" w:rsidRDefault="00CD484C">
      <w:pPr>
        <w:ind w:firstLine="397"/>
        <w:jc w:val="both"/>
        <w:rPr>
          <w:sz w:val="20"/>
          <w:szCs w:val="16"/>
        </w:rPr>
      </w:pPr>
      <w:r>
        <w:rPr>
          <w:sz w:val="20"/>
          <w:szCs w:val="16"/>
        </w:rPr>
        <w:lastRenderedPageBreak/>
        <w:t xml:space="preserve">Неплохой иллюстрацией этому наблюдению может служить Рябиновский монетно-вещевой клад 1883 г. Порезской волости Глазовского уезда Вятской губернии (Марков А.К. 1910. – С. 6, № 33;  Спицын А.А. 1905) /совр. Унинский р-н Кировской области/, состоящий из 7 целых и 4  обломков, из которых 9 были определены как саманидские и 2 зияридские. /Рис.1, </w:t>
      </w:r>
      <w:r>
        <w:rPr>
          <w:i/>
          <w:sz w:val="20"/>
          <w:szCs w:val="16"/>
        </w:rPr>
        <w:t>14</w:t>
      </w:r>
      <w:r>
        <w:rPr>
          <w:sz w:val="20"/>
          <w:szCs w:val="16"/>
        </w:rPr>
        <w:t>/. Ввиду стертости даты и место чеканки установлены только у 3 монет: Самарканд – 339/950 г и Амуль 358/968, 368/978. Данной информации и монетах Рябиновского клада оказывается достаточно, чтобы констатировать: мл.монета  клада отчеканена на Юго-Восточном берегу Каспийского моря в 978 г. /как, впрочем, и предыдущая также зияридская/, что в свою очередь позволяет констатировать приобретение монетной, выступающей в данном случае в роли «старшей» части клада не позднее рубежа 70–80-х годов Х в. Наличие же саманидских монет, как раз и свидетельствует о двух путях поступления монетного серебра в устье Камы, поскольку становится очевидным, что монетная составляющая Рябиновского поступила с ближайшего денежного рынка – Волжской Булгарии из уже сформировавшегося монетного фонда, откуда восточные монеты направлялись, как установил А.В. Фомин, в Новгород и Киев (Фомин А.В. 1995. – С. 72).</w:t>
      </w:r>
    </w:p>
    <w:p w14:paraId="7F3E4DC6" w14:textId="77777777" w:rsidR="00CD484C" w:rsidRDefault="00CD484C">
      <w:pPr>
        <w:ind w:firstLine="397"/>
        <w:jc w:val="both"/>
        <w:rPr>
          <w:sz w:val="20"/>
          <w:szCs w:val="16"/>
        </w:rPr>
      </w:pPr>
      <w:r>
        <w:rPr>
          <w:sz w:val="20"/>
          <w:szCs w:val="16"/>
        </w:rPr>
        <w:t>Следующим рынком валютного металла на пути в Киев и Смоленск являлся Поокский, охарактеризованный А.В. Фоминым, расположенный на земле  славянского племени вятичи.</w:t>
      </w:r>
    </w:p>
    <w:p w14:paraId="143A97F3" w14:textId="74AEEAB8" w:rsidR="00CD484C" w:rsidRDefault="00CD484C">
      <w:pPr>
        <w:ind w:firstLine="397"/>
        <w:jc w:val="both"/>
        <w:rPr>
          <w:spacing w:val="-2"/>
          <w:sz w:val="20"/>
          <w:szCs w:val="16"/>
        </w:rPr>
      </w:pPr>
      <w:r>
        <w:rPr>
          <w:spacing w:val="-2"/>
          <w:sz w:val="20"/>
          <w:szCs w:val="16"/>
        </w:rPr>
        <w:t xml:space="preserve">Клад, найденный в селе Борки 1952 г. Мервинского р-на Рязанской области (Пахомов Е.А., 1957. – С. 94, № 1877), изученный географическим методом, является дополнительным аргументом в пользу  приведенного выше. Младшая монета 366/976-977 гг. представлена монетой булгарского эмира Мумина б.Ал-Хасана. /Рис. 1, </w:t>
      </w:r>
      <w:r>
        <w:rPr>
          <w:i/>
          <w:spacing w:val="-2"/>
          <w:sz w:val="20"/>
          <w:szCs w:val="16"/>
        </w:rPr>
        <w:t>15</w:t>
      </w:r>
      <w:r>
        <w:rPr>
          <w:spacing w:val="-2"/>
          <w:sz w:val="20"/>
          <w:szCs w:val="16"/>
        </w:rPr>
        <w:t>; /. Вместе с этим, клад имеет две «младшие» куфические монеты, эмитированные в Джурджане, что на Юго-Восточном берегу Каспийского моря и в Самарканде в 365/975–976 г. Показания «младших» монет, а также династийный состав клада позволяет заключить, что он, так же как и Рябиновский сформировался в Волжской Булгарии из монет, поступивших сюда как из Средней Азии, так и Юго-восточного Прикаспия и уже здесь в Европе в него попала монета булгарского эмира Мумина ибн ал-Хасана чекан Булгара 366 г.х. (Пахомов Е.А., 1957. – С. 94, № 1877. – С. 95)</w:t>
      </w:r>
      <w:r>
        <w:rPr>
          <w:rStyle w:val="a6"/>
          <w:spacing w:val="-2"/>
          <w:sz w:val="20"/>
          <w:szCs w:val="16"/>
        </w:rPr>
        <w:footnoteReference w:customMarkFollows="1" w:id="25"/>
        <w:t>9</w:t>
      </w:r>
      <w:r>
        <w:rPr>
          <w:spacing w:val="-2"/>
          <w:sz w:val="20"/>
          <w:szCs w:val="16"/>
        </w:rPr>
        <w:t xml:space="preserve">. Необходимо в связи с этим отметить, что </w:t>
      </w:r>
      <w:r w:rsidR="00395416">
        <w:rPr>
          <w:noProof/>
          <w:spacing w:val="-2"/>
          <w:sz w:val="20"/>
          <w:szCs w:val="16"/>
        </w:rPr>
        <mc:AlternateContent>
          <mc:Choice Requires="wps">
            <w:drawing>
              <wp:anchor distT="0" distB="0" distL="114300" distR="114300" simplePos="0" relativeHeight="251637248" behindDoc="0" locked="1" layoutInCell="1" allowOverlap="1" wp14:anchorId="433B03D3" wp14:editId="382814B3">
                <wp:simplePos x="0" y="0"/>
                <wp:positionH relativeFrom="column">
                  <wp:posOffset>0</wp:posOffset>
                </wp:positionH>
                <wp:positionV relativeFrom="paragraph">
                  <wp:posOffset>-252730</wp:posOffset>
                </wp:positionV>
                <wp:extent cx="4095750" cy="186690"/>
                <wp:effectExtent l="0" t="0" r="2540" b="0"/>
                <wp:wrapNone/>
                <wp:docPr id="118348361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4EF98"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73E88656"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B03D3" id="Text Box 193" o:spid="_x0000_s1043" type="#_x0000_t202" style="position:absolute;left:0;text-align:left;margin-left:0;margin-top:-19.9pt;width:322.5pt;height:14.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377wEAAMIDAAAOAAAAZHJzL2Uyb0RvYy54bWysU8Fu2zAMvQ/YPwi6L3aKNW2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JjfXF5dUkpSbnm9Wt2kqWSimKsd+vBZQc9iUHKkoSZ0cXjwIXYjivlKfMyD0fVOG5M22FZb&#10;g+wgyAC79CUCr64ZGy9biGUTYjxJNCOziWMYq5Hpmrq8ihiRdgX1kYgjTMaiH4GCDvA3ZwOZquT+&#10;116g4sx8sSRedOAc4BxUcyCspNKSB86mcBsmp+4d6rYj5Gk8Fu5I4EYn7i9dnPoloyRJTqaOTvx7&#10;n269/HqbP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4Jb377wEAAMIDAAAOAAAAAAAAAAAAAAAAAC4CAABkcnMvZTJv&#10;RG9jLnhtbFBLAQItABQABgAIAAAAIQCnTgMH3gAAAAgBAAAPAAAAAAAAAAAAAAAAAEkEAABkcnMv&#10;ZG93bnJldi54bWxQSwUGAAAAAAQABADzAAAAVAUAAAAA&#10;" stroked="f">
                <v:textbox inset="0,0,0,0">
                  <w:txbxContent>
                    <w:p w14:paraId="5184EF98" w14:textId="77777777" w:rsidR="00AE2133" w:rsidRDefault="00AE2133">
                      <w:pPr>
                        <w:pStyle w:val="a3"/>
                        <w:spacing w:before="0" w:after="0"/>
                        <w:rPr>
                          <w:szCs w:val="24"/>
                          <w:u w:val="single"/>
                        </w:rPr>
                      </w:pPr>
                      <w:r>
                        <w:rPr>
                          <w:szCs w:val="24"/>
                          <w:u w:val="single"/>
                        </w:rPr>
                        <w:t xml:space="preserve"> </w:t>
                      </w:r>
                      <w:r>
                        <w:rPr>
                          <w:szCs w:val="24"/>
                          <w:u w:val="single"/>
                        </w:rPr>
                        <w:tab/>
                        <w:t>Очерк  2. Поступление куфического серебра в…</w:t>
                      </w:r>
                      <w:r>
                        <w:rPr>
                          <w:szCs w:val="24"/>
                          <w:u w:val="single"/>
                        </w:rPr>
                        <w:tab/>
                      </w:r>
                      <w:r>
                        <w:rPr>
                          <w:szCs w:val="24"/>
                          <w:u w:val="single"/>
                        </w:rPr>
                        <w:tab/>
                      </w:r>
                    </w:p>
                    <w:p w14:paraId="73E88656" w14:textId="77777777" w:rsidR="00AE2133" w:rsidRDefault="00AE2133">
                      <w:pPr>
                        <w:rPr>
                          <w:b/>
                          <w:bCs/>
                          <w:sz w:val="2"/>
                          <w:u w:val="single"/>
                        </w:rPr>
                      </w:pPr>
                    </w:p>
                  </w:txbxContent>
                </v:textbox>
                <w10:anchorlock/>
              </v:shape>
            </w:pict>
          </mc:Fallback>
        </mc:AlternateContent>
      </w:r>
      <w:r>
        <w:rPr>
          <w:spacing w:val="-2"/>
          <w:sz w:val="20"/>
          <w:szCs w:val="16"/>
        </w:rPr>
        <w:t xml:space="preserve">С.А. Янина (1962б, С. 193–196) и А.Г. Мухамадиев (1990. – С. 144, 147) показали – монетные эмиссии двух </w:t>
      </w:r>
      <w:r>
        <w:rPr>
          <w:spacing w:val="-2"/>
          <w:sz w:val="20"/>
          <w:szCs w:val="16"/>
        </w:rPr>
        <w:lastRenderedPageBreak/>
        <w:t>конкурирующих монетных дворов Волжской Булгарии – Булгара и Сувара прекращаются практически одновременно – в 977 и 976 гг. соответственно. Сделаем заключение, что кроющая часть куфической составляющей вместе с булгарской монетой клада Борки 1952 г. была приобретена на рынке города Булгар.</w:t>
      </w:r>
    </w:p>
    <w:p w14:paraId="26E3F1DD" w14:textId="77777777" w:rsidR="00CD484C" w:rsidRDefault="00CD484C">
      <w:pPr>
        <w:ind w:firstLine="397"/>
        <w:jc w:val="both"/>
        <w:rPr>
          <w:sz w:val="16"/>
          <w:szCs w:val="16"/>
        </w:rPr>
      </w:pPr>
    </w:p>
    <w:p w14:paraId="11C261B0" w14:textId="3F84368A" w:rsidR="00CD484C" w:rsidRDefault="00395416">
      <w:pPr>
        <w:jc w:val="center"/>
        <w:rPr>
          <w:sz w:val="20"/>
          <w:szCs w:val="16"/>
        </w:rPr>
      </w:pPr>
      <w:r>
        <w:rPr>
          <w:noProof/>
        </w:rPr>
        <w:drawing>
          <wp:inline distT="0" distB="0" distL="0" distR="0" wp14:anchorId="2A84F502" wp14:editId="5E856BC4">
            <wp:extent cx="2993390" cy="2459990"/>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92A4B77" w14:textId="77777777" w:rsidR="00CD484C" w:rsidRDefault="00CD484C">
      <w:pPr>
        <w:ind w:firstLine="397"/>
        <w:jc w:val="both"/>
        <w:rPr>
          <w:sz w:val="16"/>
          <w:szCs w:val="16"/>
        </w:rPr>
      </w:pPr>
    </w:p>
    <w:p w14:paraId="169E0CB8" w14:textId="77777777" w:rsidR="00CD484C" w:rsidRDefault="00CD484C">
      <w:pPr>
        <w:jc w:val="center"/>
        <w:rPr>
          <w:i/>
          <w:iCs/>
          <w:sz w:val="18"/>
          <w:szCs w:val="16"/>
        </w:rPr>
      </w:pPr>
      <w:r>
        <w:rPr>
          <w:b/>
          <w:bCs/>
          <w:i/>
          <w:iCs/>
          <w:sz w:val="18"/>
          <w:szCs w:val="16"/>
        </w:rPr>
        <w:t>Рис. 5.</w:t>
      </w:r>
      <w:r>
        <w:rPr>
          <w:i/>
          <w:iCs/>
          <w:sz w:val="18"/>
          <w:szCs w:val="16"/>
        </w:rPr>
        <w:t xml:space="preserve"> Клад Борки 1952 г. Хронолого-династийное распределение </w:t>
      </w:r>
      <w:r>
        <w:rPr>
          <w:i/>
          <w:iCs/>
          <w:sz w:val="18"/>
          <w:szCs w:val="16"/>
        </w:rPr>
        <w:br/>
        <w:t>(44 монеты по Е.А. Пахомову)</w:t>
      </w:r>
    </w:p>
    <w:p w14:paraId="485AA551" w14:textId="77777777" w:rsidR="00CD484C" w:rsidRDefault="00CD484C">
      <w:pPr>
        <w:ind w:firstLine="397"/>
        <w:jc w:val="both"/>
        <w:rPr>
          <w:sz w:val="16"/>
          <w:szCs w:val="16"/>
        </w:rPr>
      </w:pPr>
    </w:p>
    <w:p w14:paraId="5884F049" w14:textId="77777777" w:rsidR="00CD484C" w:rsidRDefault="00CD484C">
      <w:pPr>
        <w:ind w:firstLine="397"/>
        <w:jc w:val="both"/>
        <w:rPr>
          <w:color w:val="000000"/>
          <w:sz w:val="20"/>
          <w:szCs w:val="16"/>
        </w:rPr>
      </w:pPr>
      <w:r>
        <w:rPr>
          <w:sz w:val="20"/>
          <w:szCs w:val="16"/>
        </w:rPr>
        <w:t xml:space="preserve">Таким образом, в Волжской Булгарии  в Х в. происходило образование монетного фонда восточного серебра, поступавшего сюда как сухопутным, так и волжским путем. Вместе с этим, деньги в не меньших количествах требовались Хазарского каганату, в частности, для содержания регулярной исламской гвардии. </w:t>
      </w:r>
      <w:r>
        <w:rPr>
          <w:color w:val="000000"/>
          <w:sz w:val="20"/>
          <w:szCs w:val="16"/>
        </w:rPr>
        <w:t xml:space="preserve">Документ из библиотеки Кембриджа, известный в специальной литературе как «Киевское письмо», используемый Т. Нунаном /Th. Noonan/ сообщает о постоянной войне каганата с печенегами, бургасами, тюрками-огузами и черными булгарами (Noonan Th., 1992. – Р. 125; </w:t>
      </w:r>
      <w:r>
        <w:rPr>
          <w:sz w:val="20"/>
          <w:szCs w:val="16"/>
        </w:rPr>
        <w:t>Голб Н., Прицак О., 1997. – С. 17–100</w:t>
      </w:r>
      <w:r>
        <w:rPr>
          <w:color w:val="000000"/>
          <w:sz w:val="20"/>
          <w:szCs w:val="16"/>
        </w:rPr>
        <w:t xml:space="preserve">), тогда как византийский император Константин Багрянородный рассматривал хазар в качестве потенциальных агрессоров, против своих крымских владений (Сахаров А.Н., 1980. – С. 202; Franklin S., Shepard J., p. 144). Восточное серебро, начавшее поступать в Европу из Закавказья, попадало сначала на территорию Хазарского каганата, обобщает В.В. Седов (2002. – С. 174–175), сделав хазар посредниками в торговле между персидскими купцами и северными странами (Мец А., 1973. – С. 376).. И, судя по топографии кладов с исламскими монетами Х </w:t>
      </w:r>
      <w:r>
        <w:rPr>
          <w:color w:val="000000"/>
          <w:sz w:val="20"/>
          <w:szCs w:val="16"/>
        </w:rPr>
        <w:lastRenderedPageBreak/>
        <w:t>в., выясняется, что в начале этого века саманидский дирхем шел через Хазарию, вместо того, чтобы после серебряного кризиса, вызвавший, переключение внешней политики Святослава</w:t>
      </w:r>
      <w:r>
        <w:rPr>
          <w:sz w:val="20"/>
          <w:szCs w:val="16"/>
        </w:rPr>
        <w:t xml:space="preserve"> </w:t>
      </w:r>
      <w:r>
        <w:rPr>
          <w:color w:val="000000"/>
          <w:sz w:val="20"/>
          <w:szCs w:val="16"/>
        </w:rPr>
        <w:t xml:space="preserve">с западного направления на восточное, что нашло отражение в огромном числе работ </w:t>
      </w:r>
      <w:r>
        <w:rPr>
          <w:sz w:val="20"/>
          <w:szCs w:val="16"/>
        </w:rPr>
        <w:t xml:space="preserve">(Артамонов М.И., 1958. – С. 52; Петрухин В.Я., 1995. – С. 104–105; 2000. – С. 227–228; Сахаров А.Н., 1982. – С. 94–102; Лебедев Г.С., 1985. – С. 256–257; Фомин А.В., 1995. – С. 72; Котляр Н.Ф., 1998, с.66; Franklin S., Shepard J., 1998, p.144; Мишин Д.Е., 2002. – С. 180), </w:t>
      </w:r>
      <w:r>
        <w:rPr>
          <w:color w:val="000000"/>
          <w:sz w:val="20"/>
          <w:szCs w:val="16"/>
        </w:rPr>
        <w:t>выпадать в составе кладов в Волжской Булгарии.</w:t>
      </w:r>
    </w:p>
    <w:p w14:paraId="7F0314E1" w14:textId="77777777" w:rsidR="00CD484C" w:rsidRDefault="00CD484C">
      <w:pPr>
        <w:ind w:firstLine="397"/>
        <w:jc w:val="both"/>
        <w:rPr>
          <w:sz w:val="20"/>
          <w:szCs w:val="16"/>
        </w:rPr>
      </w:pPr>
      <w:r>
        <w:rPr>
          <w:color w:val="000000"/>
          <w:sz w:val="20"/>
          <w:szCs w:val="16"/>
        </w:rPr>
        <w:t>Приведенное выше позволяет выявить в характере и источнике поступления куфических монет два типа распределения, основанного на таком показании восточной монеты, как монетный двор. Если говорить о географическом (региональном) распределении кладов, то следует иметь в виду крупные историко-географические образования – провинции, а если говорить об эмиссионном распределении – здесь следует изучать распределение по монетным дворам, которое позволит выявить в конечном итоге мощность каждого представленного в кладах Восточной Европе монетного двора, его хронологию чеканки.</w:t>
      </w:r>
    </w:p>
    <w:p w14:paraId="3444FF50" w14:textId="77777777" w:rsidR="00CD484C" w:rsidRDefault="00CD484C">
      <w:pPr>
        <w:ind w:firstLine="397"/>
        <w:jc w:val="both"/>
        <w:rPr>
          <w:spacing w:val="-2"/>
          <w:sz w:val="20"/>
          <w:szCs w:val="16"/>
        </w:rPr>
      </w:pPr>
      <w:r>
        <w:rPr>
          <w:spacing w:val="-2"/>
          <w:sz w:val="20"/>
          <w:szCs w:val="16"/>
        </w:rPr>
        <w:t>Изложенное в данном очерке демонстрирует значительные возможности изучения географии монетных дворов европейских кладов на основе династийного распределения и открывает на этой основе еще одну сторону источниковедческого потенциала кладов с куфическими монетами как в процессе изучения формирования и движения монетных потоков, так и развитие финансовой системы стран-экспортеров валютного металла.</w:t>
      </w:r>
    </w:p>
    <w:p w14:paraId="56037867" w14:textId="77777777" w:rsidR="00CD484C" w:rsidRDefault="00CD484C">
      <w:pPr>
        <w:ind w:firstLine="397"/>
        <w:jc w:val="both"/>
        <w:rPr>
          <w:sz w:val="20"/>
          <w:szCs w:val="16"/>
        </w:rPr>
      </w:pPr>
    </w:p>
    <w:p w14:paraId="5E2EE72D" w14:textId="77777777" w:rsidR="00CD484C" w:rsidRDefault="00CD484C">
      <w:pPr>
        <w:jc w:val="both"/>
        <w:rPr>
          <w:sz w:val="20"/>
          <w:szCs w:val="16"/>
        </w:rPr>
      </w:pPr>
    </w:p>
    <w:p w14:paraId="4867886E" w14:textId="77777777" w:rsidR="00CD484C" w:rsidRDefault="00CD484C">
      <w:pPr>
        <w:ind w:firstLine="397"/>
        <w:jc w:val="both"/>
        <w:rPr>
          <w:sz w:val="20"/>
          <w:szCs w:val="16"/>
        </w:rPr>
      </w:pPr>
    </w:p>
    <w:p w14:paraId="46E9D10E" w14:textId="77777777" w:rsidR="00CD484C" w:rsidRDefault="00CD484C">
      <w:pPr>
        <w:ind w:firstLine="397"/>
        <w:jc w:val="both"/>
        <w:rPr>
          <w:sz w:val="20"/>
          <w:szCs w:val="16"/>
        </w:rPr>
      </w:pPr>
    </w:p>
    <w:p w14:paraId="1305F1E9" w14:textId="77777777" w:rsidR="00CD484C" w:rsidRDefault="00CD484C">
      <w:pPr>
        <w:ind w:firstLine="397"/>
        <w:jc w:val="both"/>
        <w:rPr>
          <w:sz w:val="20"/>
          <w:szCs w:val="16"/>
        </w:rPr>
      </w:pPr>
    </w:p>
    <w:p w14:paraId="661E39BB" w14:textId="77777777" w:rsidR="00CD484C" w:rsidRDefault="00CD484C">
      <w:pPr>
        <w:ind w:firstLine="397"/>
        <w:jc w:val="both"/>
        <w:rPr>
          <w:sz w:val="20"/>
          <w:szCs w:val="16"/>
        </w:rPr>
      </w:pPr>
    </w:p>
    <w:p w14:paraId="30999CB7" w14:textId="77777777" w:rsidR="00CD484C" w:rsidRDefault="00CD484C">
      <w:pPr>
        <w:ind w:firstLine="397"/>
        <w:jc w:val="both"/>
        <w:rPr>
          <w:sz w:val="20"/>
          <w:szCs w:val="16"/>
        </w:rPr>
      </w:pPr>
    </w:p>
    <w:p w14:paraId="101DF3E5" w14:textId="77777777" w:rsidR="00CD484C" w:rsidRDefault="00CD484C">
      <w:pPr>
        <w:ind w:firstLine="397"/>
        <w:jc w:val="both"/>
        <w:rPr>
          <w:sz w:val="20"/>
          <w:szCs w:val="16"/>
        </w:rPr>
      </w:pPr>
    </w:p>
    <w:p w14:paraId="682262BE" w14:textId="77777777" w:rsidR="00CD484C" w:rsidRDefault="00CD484C">
      <w:pPr>
        <w:ind w:firstLine="397"/>
        <w:jc w:val="both"/>
        <w:rPr>
          <w:sz w:val="20"/>
          <w:szCs w:val="16"/>
        </w:rPr>
      </w:pPr>
    </w:p>
    <w:p w14:paraId="0A3308F7" w14:textId="77777777" w:rsidR="00CD484C" w:rsidRDefault="00CD484C">
      <w:pPr>
        <w:ind w:firstLine="397"/>
        <w:jc w:val="both"/>
        <w:rPr>
          <w:sz w:val="20"/>
          <w:szCs w:val="16"/>
        </w:rPr>
      </w:pPr>
    </w:p>
    <w:p w14:paraId="62EB9B75" w14:textId="77777777" w:rsidR="00CD484C" w:rsidRDefault="00CD484C">
      <w:pPr>
        <w:ind w:firstLine="397"/>
        <w:jc w:val="both"/>
        <w:rPr>
          <w:sz w:val="20"/>
          <w:szCs w:val="16"/>
        </w:rPr>
      </w:pPr>
    </w:p>
    <w:p w14:paraId="03B7CC65" w14:textId="77777777" w:rsidR="00CD484C" w:rsidRDefault="00CD484C">
      <w:pPr>
        <w:ind w:firstLine="397"/>
        <w:jc w:val="both"/>
        <w:rPr>
          <w:sz w:val="20"/>
          <w:szCs w:val="16"/>
        </w:rPr>
      </w:pPr>
    </w:p>
    <w:p w14:paraId="3D28FFF4" w14:textId="77777777" w:rsidR="00CD484C" w:rsidRDefault="00CD484C">
      <w:pPr>
        <w:ind w:firstLine="397"/>
        <w:jc w:val="both"/>
        <w:rPr>
          <w:sz w:val="20"/>
          <w:szCs w:val="16"/>
        </w:rPr>
      </w:pPr>
    </w:p>
    <w:p w14:paraId="68F0157F" w14:textId="77777777" w:rsidR="00CD484C" w:rsidRDefault="00CD484C">
      <w:pPr>
        <w:ind w:firstLine="397"/>
        <w:jc w:val="both"/>
        <w:rPr>
          <w:sz w:val="20"/>
          <w:szCs w:val="16"/>
        </w:rPr>
      </w:pPr>
    </w:p>
    <w:p w14:paraId="5D758B84" w14:textId="77777777" w:rsidR="00CD484C" w:rsidRDefault="00CD484C">
      <w:pPr>
        <w:ind w:firstLine="397"/>
        <w:jc w:val="both"/>
        <w:rPr>
          <w:sz w:val="20"/>
          <w:szCs w:val="16"/>
        </w:rPr>
      </w:pPr>
    </w:p>
    <w:p w14:paraId="017633C1" w14:textId="77777777" w:rsidR="00CD484C" w:rsidRDefault="00CD484C">
      <w:pPr>
        <w:ind w:firstLine="397"/>
        <w:jc w:val="both"/>
        <w:rPr>
          <w:sz w:val="20"/>
          <w:szCs w:val="16"/>
        </w:rPr>
      </w:pPr>
    </w:p>
    <w:p w14:paraId="2EAC1CB3" w14:textId="77777777" w:rsidR="00CD484C" w:rsidRDefault="00CD484C">
      <w:pPr>
        <w:ind w:firstLine="397"/>
        <w:jc w:val="both"/>
        <w:rPr>
          <w:sz w:val="20"/>
          <w:szCs w:val="16"/>
        </w:rPr>
      </w:pPr>
    </w:p>
    <w:p w14:paraId="1BD5D19A" w14:textId="77777777" w:rsidR="00CD484C" w:rsidRDefault="00CD484C">
      <w:pPr>
        <w:ind w:firstLine="397"/>
        <w:jc w:val="both"/>
        <w:rPr>
          <w:sz w:val="18"/>
          <w:szCs w:val="16"/>
        </w:rPr>
      </w:pPr>
    </w:p>
    <w:p w14:paraId="74D6C65D" w14:textId="0AE310D6" w:rsidR="00CD484C" w:rsidRDefault="00395416">
      <w:pPr>
        <w:ind w:firstLine="397"/>
        <w:jc w:val="both"/>
        <w:rPr>
          <w:sz w:val="18"/>
          <w:szCs w:val="16"/>
        </w:rPr>
      </w:pPr>
      <w:r>
        <w:rPr>
          <w:noProof/>
          <w:sz w:val="20"/>
          <w:szCs w:val="16"/>
        </w:rPr>
        <mc:AlternateContent>
          <mc:Choice Requires="wps">
            <w:drawing>
              <wp:anchor distT="0" distB="0" distL="114300" distR="114300" simplePos="0" relativeHeight="251638272" behindDoc="0" locked="1" layoutInCell="1" allowOverlap="1" wp14:anchorId="4A0E9DE1" wp14:editId="47B521EB">
                <wp:simplePos x="0" y="0"/>
                <wp:positionH relativeFrom="column">
                  <wp:posOffset>0</wp:posOffset>
                </wp:positionH>
                <wp:positionV relativeFrom="paragraph">
                  <wp:posOffset>-252730</wp:posOffset>
                </wp:positionV>
                <wp:extent cx="4095750" cy="186690"/>
                <wp:effectExtent l="0" t="3810" r="2540" b="0"/>
                <wp:wrapNone/>
                <wp:docPr id="212309274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4C1B6"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66881B9D"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E9DE1" id="Text Box 194" o:spid="_x0000_s1044" type="#_x0000_t202" style="position:absolute;left:0;text-align:left;margin-left:0;margin-top:-19.9pt;width:322.5pt;height:14.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VxI7g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" stroked="f">
                <v:textbox inset="0,0,0,0">
                  <w:txbxContent>
                    <w:p w14:paraId="1904C1B6"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66881B9D" w14:textId="77777777" w:rsidR="00AE2133" w:rsidRDefault="00AE2133">
                      <w:pPr>
                        <w:rPr>
                          <w:b/>
                          <w:bCs/>
                          <w:sz w:val="2"/>
                          <w:u w:val="single"/>
                        </w:rPr>
                      </w:pPr>
                    </w:p>
                  </w:txbxContent>
                </v:textbox>
                <w10:anchorlock/>
              </v:shape>
            </w:pict>
          </mc:Fallback>
        </mc:AlternateContent>
      </w:r>
    </w:p>
    <w:p w14:paraId="6E84D5EE" w14:textId="77777777" w:rsidR="00CD484C" w:rsidRDefault="00CD484C">
      <w:pPr>
        <w:pStyle w:val="a3"/>
        <w:spacing w:before="1800" w:after="100"/>
      </w:pPr>
      <w:r>
        <w:lastRenderedPageBreak/>
        <w:t>ОЧЕРК 3.</w:t>
      </w:r>
    </w:p>
    <w:p w14:paraId="79100285" w14:textId="77777777" w:rsidR="00CD484C" w:rsidRDefault="00CD484C">
      <w:pPr>
        <w:spacing w:after="80"/>
        <w:jc w:val="center"/>
        <w:rPr>
          <w:sz w:val="20"/>
          <w:szCs w:val="16"/>
        </w:rPr>
      </w:pPr>
      <w:r>
        <w:rPr>
          <w:b/>
          <w:bCs/>
          <w:sz w:val="20"/>
          <w:szCs w:val="16"/>
        </w:rPr>
        <w:t xml:space="preserve">УРОВНИ СВЯЗЕЙ И ТИПЫ ДЕНЕЖНЫХ ДЕПОЗИТОВ </w:t>
      </w:r>
      <w:r>
        <w:rPr>
          <w:b/>
          <w:bCs/>
          <w:sz w:val="20"/>
          <w:szCs w:val="16"/>
        </w:rPr>
        <w:br/>
        <w:t>В ЕВРОПЕ В КОНЦЕ IX – НАЧАЛЕ X вв.</w:t>
      </w:r>
    </w:p>
    <w:p w14:paraId="763D9A48" w14:textId="77777777" w:rsidR="00CD484C" w:rsidRDefault="00CD484C">
      <w:pPr>
        <w:ind w:firstLine="397"/>
        <w:jc w:val="both"/>
        <w:rPr>
          <w:spacing w:val="-6"/>
          <w:sz w:val="20"/>
          <w:szCs w:val="16"/>
        </w:rPr>
      </w:pPr>
      <w:r>
        <w:rPr>
          <w:spacing w:val="-6"/>
          <w:sz w:val="20"/>
          <w:szCs w:val="16"/>
        </w:rPr>
        <w:t>По-видимому, вряд ли будет ошибкой утверждать, что научную основу движения куфической монеты на основе данных топографии кладов, выпавших на территории Восточной Европы, заложил выдающийся русский ориенталист Р.Р. Фасмер (Фасмер Р.Р., 1933. – С. 476–479). Это нашло детальное развитие в работе В.Л. Янина «Денежно-весовые системы русского средневековья. Домонгольский период», где исследователь показал существование монетных потоков, являющиеся по его мнению «движением монетного серебра».</w:t>
      </w:r>
    </w:p>
    <w:p w14:paraId="3454A0A3" w14:textId="77777777" w:rsidR="00CD484C" w:rsidRDefault="00CD484C">
      <w:pPr>
        <w:ind w:firstLine="397"/>
        <w:jc w:val="both"/>
        <w:rPr>
          <w:sz w:val="20"/>
          <w:szCs w:val="16"/>
        </w:rPr>
      </w:pPr>
      <w:r>
        <w:rPr>
          <w:sz w:val="20"/>
          <w:szCs w:val="16"/>
        </w:rPr>
        <w:t>Употребляя термин «распределение», Р.Р. Фасмер впервые при изучении географии чеканки состава  русских кладов с куфическими  дирхемами, продемонстрировал изменение центров поступления восточной монеты, сдвигавшееся с течением всей эпохи обращения восточных монет в Европе в зависимости от мощности стартового импульса и мощности эмиссии монетных дворов в Халифате и Центральной Азии (Фасмер Р.Р., 1925. – С. 264–269). Под географическим составом кладов в современной литературе следует понимать распределение монет того или иного клада по провинциям или точнее по историко-географическим областям Ирака, Ирана, Центральной Азии, тогда как под эмиссионным распределением – установление эмиссионных центов, выпускавших тот или иной дирхем.</w:t>
      </w:r>
    </w:p>
    <w:p w14:paraId="2DA35705" w14:textId="77777777" w:rsidR="00CD484C" w:rsidRDefault="00CD484C">
      <w:pPr>
        <w:ind w:firstLine="397"/>
        <w:jc w:val="both"/>
        <w:rPr>
          <w:spacing w:val="-5"/>
          <w:sz w:val="20"/>
          <w:szCs w:val="16"/>
        </w:rPr>
      </w:pPr>
      <w:r>
        <w:rPr>
          <w:spacing w:val="-5"/>
          <w:sz w:val="20"/>
          <w:szCs w:val="16"/>
        </w:rPr>
        <w:t>Русские клады до 50-х годов Х в., имеющие узкий диапазон чеканки, до в пределах 30–60 лет (Янин В.Л., 1956. – С. 132), состоящие практически целиком из монет маверанахрской эмиссии позволяет утверждать, что они были доставлены сухопутным путем из Средней Азии в Хазарию или в Волжскую Булгарию, причем, топография кладов Х в. ясно  демонстрируют наиболее близкую к Центральной Азии концентрацию кладов в районе Волжской Булгарии, где хронологический состав обновлялся регулярно (Янини В.Л., с. 130).</w:t>
      </w:r>
    </w:p>
    <w:p w14:paraId="6E4E316E" w14:textId="77777777" w:rsidR="00CD484C" w:rsidRDefault="00CD484C">
      <w:pPr>
        <w:ind w:firstLine="397"/>
        <w:jc w:val="both"/>
        <w:rPr>
          <w:spacing w:val="-2"/>
          <w:sz w:val="20"/>
          <w:szCs w:val="16"/>
        </w:rPr>
      </w:pPr>
      <w:r>
        <w:rPr>
          <w:spacing w:val="-2"/>
          <w:sz w:val="20"/>
          <w:szCs w:val="16"/>
        </w:rPr>
        <w:t xml:space="preserve">«Вплоть до конца 50-х гг. Х в. в кладах преобладают монеты не 930–950-х гг., а более ранние саманидские дирхемы первой трети Х в., что объяснено кризисными явлениями в обращении куфических монет  в Восточной Европы» (Янин В.Л., 1956. – С. 133, 135). Совершенствуя методику изучения хронологического состава кладов с куфическими монетами и развивая идею монетных потоков, А.В. Фомин, в частности, установил типологию кладов на основе сравнения графиков распределений кладов. Как оказалось, одним из критериев сходства составов кладов, несущие типологическую нагрузку, является выявление экстремумов статистических распределений, объективно отражающих мощность стартового импульса в странах-эмитентах монеты. В кладах, датирующиеся по ММ 912–914 годами таковые зафиксированы на период 900–910-е годы (Фомин А.В., 1983а. – С. 81–83). В западноевропейской литературе утвердилась точка зрения, представленная П. </w:t>
      </w:r>
      <w:r>
        <w:rPr>
          <w:spacing w:val="-2"/>
          <w:sz w:val="20"/>
          <w:szCs w:val="16"/>
        </w:rPr>
        <w:lastRenderedPageBreak/>
        <w:t>Сойером /P. Sojer/, согласно которой в шведских кладах начала Х в. распределение саманидских монет отвечает тем же принципам, что и в русских кладах (Сойер П., 2002. – С. 165–167).</w:t>
      </w:r>
    </w:p>
    <w:p w14:paraId="48CB4844" w14:textId="77777777" w:rsidR="00CD484C" w:rsidRDefault="00CD484C">
      <w:pPr>
        <w:ind w:firstLine="397"/>
        <w:jc w:val="both"/>
        <w:rPr>
          <w:spacing w:val="-2"/>
          <w:sz w:val="20"/>
          <w:szCs w:val="16"/>
        </w:rPr>
      </w:pPr>
      <w:r>
        <w:rPr>
          <w:spacing w:val="-2"/>
          <w:sz w:val="20"/>
          <w:szCs w:val="16"/>
        </w:rPr>
        <w:t>В данном очерке мы осуществим попытку выявить, опираясь, прежде всего на методику изучения кладов с восточными монетами Р.Р. Фасмера – В.Л. Янина и связанные с нею  вопросы эмиссионного распределения в кладах, выпавших на первых рынках Восточной Европы во втором десятилетии Х в., с целью установления роли каждого из основных, что наблюдается при первом приближении, монетных дворов как-то: аш-Шаш, Самарканд и Андераб, а также степень их проникновения на рынки Западного Ирана и Восточной Европы. Интерес к кладам данного хронологического периода повышается и тем, в литературе, в том числе и западной, была отмечена  лакуна в период 870–900-х гг., практически не представленная материалами кладов, названная Т. Нунаном |Th.S. Noonan| «первым серебряным кризисом» (Franklin S., Shepard J. 1998. – Р. 59–60). Добавим, что еще С. Болин /S. Bolin/ отмечал, что в русских и шведских кладах незначительное число монет, отчеканенных до 890 г. (Сойер П., 2002. – С. 166–167). В результате изучения кладов, выпавших в 910-е годы на территории Восточной Европы, нам удалось выявить типы денежных депозитов и уровни связей между последними и эмиссионными центрами в конце IX – начале X вв. /Рис. 1/. Попытаемся продемонстрировать это конкретным материалом кладов.</w:t>
      </w:r>
    </w:p>
    <w:p w14:paraId="39A0238F" w14:textId="77777777" w:rsidR="00CD484C" w:rsidRDefault="00CD484C">
      <w:pPr>
        <w:ind w:firstLine="397"/>
        <w:jc w:val="both"/>
        <w:rPr>
          <w:sz w:val="20"/>
          <w:szCs w:val="16"/>
        </w:rPr>
      </w:pPr>
      <w:r>
        <w:rPr>
          <w:sz w:val="20"/>
          <w:szCs w:val="16"/>
        </w:rPr>
        <w:t>5 февраля 1888 г. В.Г. Тизенгаузен составил опись клада серебряных куфических монет, найденного в 1885 г. близ д.Богдановской Сарапульской волости Вятской губернии (РА  ИИМК. Ф.1, 1888. Д.14), практически полностью опубликованное А.К. Марковым (Марков А.К., 1910, с.7. № 34). Как правило,  оказавшееся впоследствии весьма важным, что замечено В.Л. Яниным,  А.К. Марков приводил даты старшей и младшей «новейшей» монет кладов. Здесь СМ относилась к 283 г., а новейшая к 307(=919) г. Помимо 407 куфических монет и подражаний в кладе находился фрагмент гривны так называемого «глазовского типа» весом 5 зол. 90 долей</w:t>
      </w:r>
      <w:r>
        <w:rPr>
          <w:rStyle w:val="a6"/>
          <w:sz w:val="20"/>
          <w:szCs w:val="16"/>
        </w:rPr>
        <w:footnoteReference w:customMarkFollows="1" w:id="26"/>
        <w:t>1</w:t>
      </w:r>
      <w:r>
        <w:rPr>
          <w:sz w:val="20"/>
          <w:szCs w:val="16"/>
        </w:rPr>
        <w:t>, отправленный ИАК на сплав</w:t>
      </w:r>
      <w:r>
        <w:rPr>
          <w:rStyle w:val="a6"/>
          <w:sz w:val="20"/>
          <w:szCs w:val="16"/>
        </w:rPr>
        <w:footnoteReference w:customMarkFollows="1" w:id="27"/>
        <w:t>2</w:t>
      </w:r>
      <w:r>
        <w:rPr>
          <w:sz w:val="20"/>
          <w:szCs w:val="16"/>
        </w:rPr>
        <w:t>. /РА ИИМК. Там же, л. 1/.</w:t>
      </w:r>
    </w:p>
    <w:p w14:paraId="4F80EA08" w14:textId="77777777" w:rsidR="00CD484C" w:rsidRDefault="00CD484C">
      <w:pPr>
        <w:ind w:hanging="180"/>
        <w:jc w:val="center"/>
        <w:rPr>
          <w:sz w:val="20"/>
          <w:szCs w:val="16"/>
        </w:rPr>
      </w:pPr>
      <w:r>
        <w:rPr>
          <w:sz w:val="20"/>
          <w:szCs w:val="16"/>
        </w:rPr>
        <w:object w:dxaOrig="9360" w:dyaOrig="8820" w14:anchorId="49B81043">
          <v:shape id="_x0000_i1027" type="#_x0000_t75" style="width:324.75pt;height:354.75pt" o:ole="">
            <v:imagedata r:id="rId23" o:title="" croptop="2076f" cropleft="10481f"/>
          </v:shape>
          <o:OLEObject Type="Embed" ProgID="PBrush" ShapeID="_x0000_i1027" DrawAspect="Content" ObjectID="_1816884167" r:id="rId24"/>
        </w:object>
      </w:r>
    </w:p>
    <w:p w14:paraId="1F9F20E1" w14:textId="794AA1AB" w:rsidR="00CD484C" w:rsidRDefault="00395416">
      <w:pPr>
        <w:ind w:firstLine="397"/>
        <w:jc w:val="center"/>
        <w:rPr>
          <w:i/>
          <w:iCs/>
          <w:sz w:val="10"/>
          <w:szCs w:val="16"/>
        </w:rPr>
      </w:pPr>
      <w:r>
        <w:rPr>
          <w:i/>
          <w:iCs/>
          <w:noProof/>
          <w:sz w:val="20"/>
          <w:szCs w:val="16"/>
        </w:rPr>
        <mc:AlternateContent>
          <mc:Choice Requires="wps">
            <w:drawing>
              <wp:anchor distT="0" distB="0" distL="114300" distR="114300" simplePos="0" relativeHeight="251639296" behindDoc="0" locked="1" layoutInCell="1" allowOverlap="1" wp14:anchorId="2DCB8D9E" wp14:editId="7011E352">
                <wp:simplePos x="0" y="0"/>
                <wp:positionH relativeFrom="column">
                  <wp:posOffset>0</wp:posOffset>
                </wp:positionH>
                <wp:positionV relativeFrom="paragraph">
                  <wp:posOffset>-4755515</wp:posOffset>
                </wp:positionV>
                <wp:extent cx="4095750" cy="186690"/>
                <wp:effectExtent l="0" t="0" r="2540" b="0"/>
                <wp:wrapNone/>
                <wp:docPr id="720577966"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4AD1F"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3582691C"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B8D9E" id="Text Box 195" o:spid="_x0000_s1045" type="#_x0000_t202" style="position:absolute;left:0;text-align:left;margin-left:0;margin-top:-374.45pt;width:322.5pt;height:14.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" stroked="f">
                <v:textbox inset="0,0,0,0">
                  <w:txbxContent>
                    <w:p w14:paraId="7254AD1F"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3582691C" w14:textId="77777777" w:rsidR="00AE2133" w:rsidRDefault="00AE2133">
                      <w:pPr>
                        <w:rPr>
                          <w:b/>
                          <w:bCs/>
                          <w:sz w:val="2"/>
                          <w:u w:val="single"/>
                        </w:rPr>
                      </w:pPr>
                    </w:p>
                  </w:txbxContent>
                </v:textbox>
                <w10:anchorlock/>
              </v:shape>
            </w:pict>
          </mc:Fallback>
        </mc:AlternateContent>
      </w:r>
    </w:p>
    <w:p w14:paraId="36BD27C3" w14:textId="77777777" w:rsidR="00CD484C" w:rsidRDefault="00CD484C">
      <w:pPr>
        <w:jc w:val="center"/>
        <w:rPr>
          <w:i/>
          <w:iCs/>
          <w:sz w:val="18"/>
          <w:szCs w:val="16"/>
        </w:rPr>
      </w:pPr>
      <w:r>
        <w:rPr>
          <w:b/>
          <w:bCs/>
          <w:i/>
          <w:iCs/>
          <w:sz w:val="18"/>
          <w:szCs w:val="16"/>
        </w:rPr>
        <w:t>Рис. 1.</w:t>
      </w:r>
      <w:r>
        <w:rPr>
          <w:i/>
          <w:iCs/>
          <w:sz w:val="18"/>
          <w:szCs w:val="16"/>
        </w:rPr>
        <w:t xml:space="preserve"> Уровни связей и типы кладов в конце IX – начале X в.</w:t>
      </w:r>
    </w:p>
    <w:p w14:paraId="11AB3D62" w14:textId="77777777" w:rsidR="00CD484C" w:rsidRDefault="00CD484C">
      <w:pPr>
        <w:jc w:val="both"/>
        <w:rPr>
          <w:sz w:val="16"/>
          <w:szCs w:val="16"/>
        </w:rPr>
      </w:pPr>
      <w:r>
        <w:rPr>
          <w:b/>
          <w:bCs/>
          <w:i/>
          <w:iCs/>
          <w:sz w:val="16"/>
          <w:szCs w:val="16"/>
        </w:rPr>
        <w:t>а</w:t>
      </w:r>
      <w:r>
        <w:rPr>
          <w:i/>
          <w:iCs/>
          <w:sz w:val="16"/>
          <w:szCs w:val="16"/>
        </w:rPr>
        <w:t xml:space="preserve"> – клады: 1 – Богдановский 1888 г.; 2 – из Казанской губ. 1840 г.; 3 – Муром 1866 г.; 4 – Лужки 1973 г.; 5 – Пальцевр 1923 г.; 6 – Титчиха 1965 г.; 7 – ж.д. станция Красный десант 1970-е годы; 8 – Алтынтепа – 1975 г.;  9 – из Ставропольского у. Самарской губ. 1856 г.</w:t>
      </w:r>
    </w:p>
    <w:p w14:paraId="715E8E66" w14:textId="77777777" w:rsidR="00CD484C" w:rsidRDefault="00CD484C">
      <w:pPr>
        <w:jc w:val="both"/>
        <w:rPr>
          <w:i/>
          <w:iCs/>
          <w:sz w:val="16"/>
          <w:szCs w:val="16"/>
        </w:rPr>
      </w:pPr>
      <w:r>
        <w:rPr>
          <w:b/>
          <w:bCs/>
          <w:i/>
          <w:iCs/>
          <w:sz w:val="16"/>
          <w:szCs w:val="16"/>
        </w:rPr>
        <w:t>б</w:t>
      </w:r>
      <w:r>
        <w:rPr>
          <w:i/>
          <w:iCs/>
          <w:sz w:val="16"/>
          <w:szCs w:val="16"/>
        </w:rPr>
        <w:t xml:space="preserve"> – среднвековые города.</w:t>
      </w:r>
    </w:p>
    <w:p w14:paraId="5389C8ED" w14:textId="77777777" w:rsidR="00CD484C" w:rsidRDefault="00CD484C">
      <w:pPr>
        <w:jc w:val="both"/>
        <w:rPr>
          <w:i/>
          <w:iCs/>
          <w:sz w:val="16"/>
          <w:szCs w:val="16"/>
        </w:rPr>
      </w:pPr>
      <w:r>
        <w:rPr>
          <w:b/>
          <w:bCs/>
          <w:i/>
          <w:iCs/>
          <w:sz w:val="16"/>
          <w:szCs w:val="16"/>
        </w:rPr>
        <w:t>в</w:t>
      </w:r>
      <w:r>
        <w:rPr>
          <w:i/>
          <w:iCs/>
          <w:sz w:val="16"/>
          <w:szCs w:val="16"/>
        </w:rPr>
        <w:t xml:space="preserve"> – путь дирхема аш-Шаша в Европу в конце IX – начале X в.;</w:t>
      </w:r>
    </w:p>
    <w:p w14:paraId="67EE1F43" w14:textId="77777777" w:rsidR="00CD484C" w:rsidRDefault="00CD484C">
      <w:pPr>
        <w:jc w:val="both"/>
        <w:rPr>
          <w:i/>
          <w:iCs/>
          <w:sz w:val="16"/>
          <w:szCs w:val="16"/>
        </w:rPr>
      </w:pPr>
      <w:r>
        <w:rPr>
          <w:b/>
          <w:bCs/>
          <w:i/>
          <w:iCs/>
          <w:sz w:val="16"/>
          <w:szCs w:val="16"/>
        </w:rPr>
        <w:t>г</w:t>
      </w:r>
      <w:r>
        <w:rPr>
          <w:i/>
          <w:iCs/>
          <w:sz w:val="16"/>
          <w:szCs w:val="16"/>
        </w:rPr>
        <w:t xml:space="preserve"> – путь самаркандской монеты в Европу в первой половине Х в.</w:t>
      </w:r>
    </w:p>
    <w:p w14:paraId="35322E26" w14:textId="77777777" w:rsidR="00CD484C" w:rsidRDefault="00CD484C">
      <w:pPr>
        <w:jc w:val="both"/>
        <w:rPr>
          <w:i/>
          <w:iCs/>
          <w:sz w:val="16"/>
          <w:szCs w:val="16"/>
        </w:rPr>
      </w:pPr>
      <w:r>
        <w:rPr>
          <w:b/>
          <w:bCs/>
          <w:i/>
          <w:iCs/>
          <w:sz w:val="16"/>
          <w:szCs w:val="16"/>
        </w:rPr>
        <w:t>д</w:t>
      </w:r>
      <w:r>
        <w:rPr>
          <w:i/>
          <w:iCs/>
          <w:sz w:val="16"/>
          <w:szCs w:val="16"/>
        </w:rPr>
        <w:t xml:space="preserve"> – уровни связей монетных дворов с денежными депозитами:</w:t>
      </w:r>
    </w:p>
    <w:p w14:paraId="6121355B" w14:textId="77777777" w:rsidR="00CD484C" w:rsidRDefault="00CD484C">
      <w:pPr>
        <w:jc w:val="both"/>
        <w:rPr>
          <w:i/>
          <w:iCs/>
          <w:sz w:val="16"/>
          <w:szCs w:val="16"/>
        </w:rPr>
      </w:pPr>
      <w:r>
        <w:rPr>
          <w:i/>
          <w:iCs/>
          <w:sz w:val="16"/>
          <w:szCs w:val="16"/>
        </w:rPr>
        <w:t>д1 – связи 1-го уровня;</w:t>
      </w:r>
    </w:p>
    <w:p w14:paraId="5208BDD2" w14:textId="77777777" w:rsidR="00CD484C" w:rsidRDefault="00CD484C">
      <w:pPr>
        <w:jc w:val="both"/>
        <w:rPr>
          <w:i/>
          <w:iCs/>
          <w:sz w:val="16"/>
          <w:szCs w:val="16"/>
        </w:rPr>
      </w:pPr>
      <w:r>
        <w:rPr>
          <w:i/>
          <w:iCs/>
          <w:sz w:val="16"/>
          <w:szCs w:val="16"/>
        </w:rPr>
        <w:t>д2 – связи 2-го уровня;</w:t>
      </w:r>
    </w:p>
    <w:p w14:paraId="3467125B" w14:textId="77777777" w:rsidR="00CD484C" w:rsidRDefault="00CD484C">
      <w:pPr>
        <w:jc w:val="both"/>
        <w:rPr>
          <w:i/>
          <w:iCs/>
          <w:sz w:val="16"/>
          <w:szCs w:val="16"/>
        </w:rPr>
      </w:pPr>
      <w:r>
        <w:rPr>
          <w:i/>
          <w:iCs/>
          <w:sz w:val="16"/>
          <w:szCs w:val="16"/>
        </w:rPr>
        <w:t>д3 – связи 3-го уровня;</w:t>
      </w:r>
    </w:p>
    <w:p w14:paraId="71380A91" w14:textId="77777777" w:rsidR="00CD484C" w:rsidRDefault="00CD484C">
      <w:pPr>
        <w:jc w:val="both"/>
        <w:rPr>
          <w:i/>
          <w:iCs/>
          <w:sz w:val="16"/>
          <w:szCs w:val="16"/>
        </w:rPr>
      </w:pPr>
      <w:r>
        <w:rPr>
          <w:b/>
          <w:bCs/>
          <w:i/>
          <w:iCs/>
          <w:sz w:val="16"/>
          <w:szCs w:val="16"/>
        </w:rPr>
        <w:t>е</w:t>
      </w:r>
      <w:r>
        <w:rPr>
          <w:i/>
          <w:iCs/>
          <w:sz w:val="16"/>
          <w:szCs w:val="16"/>
        </w:rPr>
        <w:t xml:space="preserve"> – ареал монетных дворов 3-го уровня, монет, представленных в Восточной Европе.</w:t>
      </w:r>
    </w:p>
    <w:p w14:paraId="0DFA50E5" w14:textId="77777777" w:rsidR="00CD484C" w:rsidRDefault="00CD484C">
      <w:pPr>
        <w:jc w:val="both"/>
        <w:rPr>
          <w:i/>
          <w:iCs/>
          <w:sz w:val="16"/>
          <w:szCs w:val="16"/>
        </w:rPr>
      </w:pPr>
      <w:r>
        <w:rPr>
          <w:b/>
          <w:bCs/>
          <w:i/>
          <w:iCs/>
          <w:sz w:val="16"/>
          <w:szCs w:val="16"/>
        </w:rPr>
        <w:t>ж</w:t>
      </w:r>
      <w:r>
        <w:rPr>
          <w:i/>
          <w:iCs/>
          <w:sz w:val="16"/>
          <w:szCs w:val="16"/>
        </w:rPr>
        <w:t xml:space="preserve"> – гистограммы хронологических распределений кладов.</w:t>
      </w:r>
    </w:p>
    <w:p w14:paraId="56FE0A2D" w14:textId="77777777" w:rsidR="00CD484C" w:rsidRDefault="00CD484C">
      <w:pPr>
        <w:jc w:val="both"/>
        <w:rPr>
          <w:sz w:val="18"/>
          <w:szCs w:val="16"/>
        </w:rPr>
      </w:pPr>
      <w:r>
        <w:rPr>
          <w:b/>
          <w:bCs/>
          <w:i/>
          <w:iCs/>
          <w:sz w:val="16"/>
          <w:szCs w:val="16"/>
        </w:rPr>
        <w:t>з</w:t>
      </w:r>
      <w:r>
        <w:rPr>
          <w:i/>
          <w:iCs/>
          <w:sz w:val="16"/>
          <w:szCs w:val="16"/>
        </w:rPr>
        <w:t xml:space="preserve"> – типы денежных депозитов куфических монет.</w:t>
      </w:r>
    </w:p>
    <w:p w14:paraId="6AD947E5" w14:textId="77777777" w:rsidR="00CD484C" w:rsidRDefault="00CD484C">
      <w:pPr>
        <w:ind w:firstLine="397"/>
        <w:jc w:val="both"/>
        <w:rPr>
          <w:sz w:val="20"/>
          <w:szCs w:val="16"/>
        </w:rPr>
      </w:pPr>
      <w:r>
        <w:rPr>
          <w:sz w:val="20"/>
          <w:szCs w:val="16"/>
        </w:rPr>
        <w:lastRenderedPageBreak/>
        <w:t xml:space="preserve">Прежде чем проанализировать данный клад с точки зрения его хронологии, династийного и эмиссионного распределения, сделаем сверку его с первоисточником. Младшая монета (ММ) в определении В.Г. Тизенгаузена представлена как дирхем Андераба битый с вопросом в 307 г.х., но предшествующая ей монеты в описи №№ 386-388 выпущены в аш-Шаше (2 экз.) и Самарканде имеют дату 304 г.х. Географическое положение названных мест чеканки по отношению к месту выпадения клада и наличие дирхемов Андераба в кладах Маверанахра (Атаходжаев А.Х., 1993, Кочнев Б.Д., 1996) позволяет  утверждать, что монета чекан Андераба в данном кладе может быть младшей только в совокупности с монетами местных, т.е. трансоксианских монетных дворов – в ином случае пришлось бы сделать допущение, что андерабские монеты поступали в Европу, минуя денежные рынки Бухары – Самарканда – аш-Шаша, что теоретически возможно, но только по маршруту Андераб – Герат – (Нишапур) – Мерв – Хорезм. Поэтому, с большой долей уверенности можно утверждать о том, что монета, чекан Андераба, обозначенный В.Г. Тизенгаузеном, под № 390 в описи должен иметь дату не моложе 304 г.х. При дате старшей монеты аш-Шаш 283 г.х. хронологический диапазон клада составляет 21  год. Но вряд ли стоит торопиться и объявить Богдановский клад кладом, где дата младшей монеты близка к дате зарытия, строго транзитным – присутствие подражаний 4%, согласно А.В. Фомину состава памятника, предполагает наличие денежного обращения на территории Камско-Чепецкого водораздела. В то же время куфическая часть представляет депозит моментального накопления. /Рис. 1, </w:t>
      </w:r>
      <w:r>
        <w:rPr>
          <w:i/>
          <w:sz w:val="20"/>
          <w:szCs w:val="16"/>
        </w:rPr>
        <w:t>а</w:t>
      </w:r>
      <w:r>
        <w:rPr>
          <w:sz w:val="20"/>
          <w:szCs w:val="16"/>
        </w:rPr>
        <w:t>/.</w:t>
      </w:r>
    </w:p>
    <w:p w14:paraId="2CA81D72" w14:textId="77777777" w:rsidR="00CD484C" w:rsidRDefault="00CD484C">
      <w:pPr>
        <w:ind w:firstLine="397"/>
        <w:jc w:val="both"/>
        <w:rPr>
          <w:sz w:val="20"/>
          <w:szCs w:val="16"/>
        </w:rPr>
      </w:pPr>
      <w:r>
        <w:rPr>
          <w:sz w:val="20"/>
          <w:szCs w:val="16"/>
        </w:rPr>
        <w:t>Подражания, детальную разработку данных нумизматических артефактов в современной литературе осуществил А.Ф. Фомин, чеканились в районе археологически связанного с салтово-маяцкой культурой, а уже оттуда распространялись по Восточной Европе, попадая, в том числе в Вятско-камский ареал. До этой работы определяющей была точка зрения, состоящая в том, что подражания-иммитации куфических дирхемам изготовлялись на территории Волжской Булгарии (Фомин А.В., 1988а. – С. 198, 197). Данные монеты, как монеты чекана волжских эмиров в Булгаре и Суваре, изученные в частности С.А. Яниной являются великолепными индикаторами прохождения основной монетной массы, выпущенных в странах-эмитентах. Наличие их в кладах позволяет судить и скорости и интенсивности движения куфического серебра, а также выявить, в том числе и релевантные торгово-экономические связи в Европе в период распространения здесь исламской монеты.</w:t>
      </w:r>
    </w:p>
    <w:p w14:paraId="487E5EA1" w14:textId="2B72F541" w:rsidR="00CD484C" w:rsidRDefault="00CD484C">
      <w:pPr>
        <w:ind w:firstLine="397"/>
        <w:jc w:val="both"/>
        <w:rPr>
          <w:sz w:val="20"/>
          <w:szCs w:val="16"/>
        </w:rPr>
      </w:pPr>
      <w:r>
        <w:rPr>
          <w:sz w:val="20"/>
          <w:szCs w:val="16"/>
        </w:rPr>
        <w:t xml:space="preserve">В Богдановском кладе имитации биты от имени Исмаила б. Ахмеда и Ахмеда б. Исмаила и «ММ» не выходит за пределы 301/913 г., это дает основание утверждать, что состав клада, не мог формироваться единовременно, а, по крайней мере, до 304/915–916 г. монеты сюда поступали </w:t>
      </w:r>
      <w:r>
        <w:rPr>
          <w:sz w:val="20"/>
          <w:szCs w:val="16"/>
        </w:rPr>
        <w:lastRenderedPageBreak/>
        <w:t>не</w:t>
      </w:r>
      <w:r w:rsidR="00395416">
        <w:rPr>
          <w:noProof/>
          <w:sz w:val="20"/>
          <w:szCs w:val="16"/>
        </w:rPr>
        <mc:AlternateContent>
          <mc:Choice Requires="wps">
            <w:drawing>
              <wp:anchor distT="0" distB="0" distL="114300" distR="114300" simplePos="0" relativeHeight="251640320" behindDoc="0" locked="1" layoutInCell="1" allowOverlap="1" wp14:anchorId="7504A7CF" wp14:editId="35C6ECB0">
                <wp:simplePos x="0" y="0"/>
                <wp:positionH relativeFrom="column">
                  <wp:posOffset>0</wp:posOffset>
                </wp:positionH>
                <wp:positionV relativeFrom="paragraph">
                  <wp:posOffset>-252730</wp:posOffset>
                </wp:positionV>
                <wp:extent cx="4095750" cy="186690"/>
                <wp:effectExtent l="0" t="0" r="2540" b="0"/>
                <wp:wrapNone/>
                <wp:docPr id="454912875"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29036"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553335EB"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4A7CF" id="Text Box 196" o:spid="_x0000_s1046" type="#_x0000_t202" style="position:absolute;left:0;text-align:left;margin-left:0;margin-top:-19.9pt;width:322.5pt;height:14.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sJ99+7wEAAMIDAAAOAAAAAAAAAAAAAAAAAC4CAABkcnMvZTJv&#10;RG9jLnhtbFBLAQItABQABgAIAAAAIQCnTgMH3gAAAAgBAAAPAAAAAAAAAAAAAAAAAEkEAABkcnMv&#10;ZG93bnJldi54bWxQSwUGAAAAAAQABADzAAAAVAUAAAAA&#10;" stroked="f">
                <v:textbox inset="0,0,0,0">
                  <w:txbxContent>
                    <w:p w14:paraId="1A129036"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553335EB" w14:textId="77777777" w:rsidR="00AE2133" w:rsidRDefault="00AE2133">
                      <w:pPr>
                        <w:rPr>
                          <w:b/>
                          <w:bCs/>
                          <w:sz w:val="2"/>
                          <w:u w:val="single"/>
                        </w:rPr>
                      </w:pPr>
                    </w:p>
                  </w:txbxContent>
                </v:textbox>
                <w10:anchorlock/>
              </v:shape>
            </w:pict>
          </mc:Fallback>
        </mc:AlternateContent>
      </w:r>
      <w:r>
        <w:rPr>
          <w:sz w:val="20"/>
          <w:szCs w:val="16"/>
        </w:rPr>
        <w:t>прерывно. Разумеется, имеется в виду, что его куфическая часть, т.е. такие монеты, которые на родине-эмитента дирхема  вначале Х в., назывались дирхемы-исмаили</w:t>
      </w:r>
      <w:r>
        <w:rPr>
          <w:rStyle w:val="a6"/>
          <w:sz w:val="20"/>
          <w:szCs w:val="16"/>
        </w:rPr>
        <w:footnoteReference w:customMarkFollows="1" w:id="28"/>
        <w:t>3</w:t>
      </w:r>
      <w:r>
        <w:rPr>
          <w:sz w:val="20"/>
          <w:szCs w:val="16"/>
        </w:rPr>
        <w:t>.</w:t>
      </w:r>
    </w:p>
    <w:p w14:paraId="33011384" w14:textId="77777777" w:rsidR="00CD484C" w:rsidRDefault="00CD484C">
      <w:pPr>
        <w:ind w:firstLine="397"/>
        <w:jc w:val="both"/>
        <w:rPr>
          <w:sz w:val="20"/>
          <w:szCs w:val="16"/>
        </w:rPr>
      </w:pPr>
      <w:r>
        <w:rPr>
          <w:sz w:val="20"/>
          <w:szCs w:val="16"/>
        </w:rPr>
        <w:t>Сделав предварительные замечания, попытаемся осуществить графическое отображение клада, интерпретация которого, осуществленная на основе методики анализа  хронологического состава кладов с куфическим монетами впервые предложенная Р.Р. Фасмером и разработанная В.Л. Яниным, позволит выявить некоторые аспекты торговых отношений между Волжской Булгарией  и государством Саманидов и характер поступления монеты в Восточной Европу. /Рис. 2/.</w:t>
      </w:r>
    </w:p>
    <w:p w14:paraId="4B567E4D" w14:textId="77777777" w:rsidR="00CD484C" w:rsidRDefault="00CD484C">
      <w:pPr>
        <w:ind w:firstLine="397"/>
        <w:jc w:val="both"/>
        <w:rPr>
          <w:sz w:val="20"/>
          <w:szCs w:val="16"/>
        </w:rPr>
      </w:pPr>
    </w:p>
    <w:p w14:paraId="50383786" w14:textId="42F7C721" w:rsidR="00CD484C" w:rsidRDefault="00395416">
      <w:pPr>
        <w:jc w:val="center"/>
        <w:rPr>
          <w:sz w:val="20"/>
          <w:szCs w:val="16"/>
        </w:rPr>
      </w:pPr>
      <w:r>
        <w:rPr>
          <w:noProof/>
          <w:sz w:val="20"/>
          <w:szCs w:val="16"/>
        </w:rPr>
        <w:drawing>
          <wp:inline distT="0" distB="0" distL="0" distR="0" wp14:anchorId="3554BF92" wp14:editId="35C4337B">
            <wp:extent cx="2884805" cy="1447800"/>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7B6EA92" w14:textId="77777777" w:rsidR="00CD484C" w:rsidRDefault="00CD484C">
      <w:pPr>
        <w:ind w:firstLine="397"/>
        <w:jc w:val="center"/>
        <w:rPr>
          <w:i/>
          <w:iCs/>
          <w:sz w:val="20"/>
          <w:szCs w:val="16"/>
        </w:rPr>
      </w:pPr>
    </w:p>
    <w:p w14:paraId="5F51A32D" w14:textId="77777777" w:rsidR="00CD484C" w:rsidRDefault="00CD484C">
      <w:pPr>
        <w:jc w:val="center"/>
        <w:rPr>
          <w:i/>
          <w:iCs/>
          <w:sz w:val="18"/>
          <w:szCs w:val="16"/>
        </w:rPr>
      </w:pPr>
      <w:r>
        <w:rPr>
          <w:b/>
          <w:bCs/>
          <w:i/>
          <w:iCs/>
          <w:sz w:val="18"/>
          <w:szCs w:val="16"/>
        </w:rPr>
        <w:t>Рис.2.</w:t>
      </w:r>
      <w:r>
        <w:rPr>
          <w:i/>
          <w:iCs/>
          <w:sz w:val="18"/>
          <w:szCs w:val="16"/>
        </w:rPr>
        <w:t xml:space="preserve"> Богдановский клад 1885 г. Вятской губернии. </w:t>
      </w:r>
      <w:r>
        <w:rPr>
          <w:i/>
          <w:iCs/>
          <w:sz w:val="18"/>
          <w:szCs w:val="16"/>
        </w:rPr>
        <w:br/>
        <w:t>Хронолого-династийное распределение</w:t>
      </w:r>
    </w:p>
    <w:p w14:paraId="59EDE1C5" w14:textId="77777777" w:rsidR="00CD484C" w:rsidRDefault="00CD484C">
      <w:pPr>
        <w:ind w:firstLine="397"/>
        <w:jc w:val="both"/>
        <w:rPr>
          <w:sz w:val="20"/>
          <w:szCs w:val="16"/>
        </w:rPr>
      </w:pPr>
    </w:p>
    <w:p w14:paraId="15FB160A" w14:textId="77777777" w:rsidR="00CD484C" w:rsidRDefault="00CD484C">
      <w:pPr>
        <w:ind w:firstLine="397"/>
        <w:jc w:val="both"/>
        <w:rPr>
          <w:sz w:val="20"/>
          <w:szCs w:val="16"/>
        </w:rPr>
      </w:pPr>
      <w:r>
        <w:rPr>
          <w:sz w:val="20"/>
          <w:szCs w:val="16"/>
        </w:rPr>
        <w:t>Прежде чем продолжить дальнейшее изучение клада, необходимо остановиться на том, что согласно периодизации Фасмера – Янина – данный клад относится в третьему периоду обращения куфического  дирхема в Восточной Европе 900–938 гг. его характеризует увеличение ввоза восточной монеты и скорости денежного обращения, выразившиеся в узком – 30-летнем хронологическом диапазоне, а также практическая однородность династийного состава – 90% составляют монеты Саманидов (Янин В.Л., 1956. – С. 118–122)</w:t>
      </w:r>
      <w:r>
        <w:rPr>
          <w:rStyle w:val="a6"/>
          <w:sz w:val="20"/>
          <w:szCs w:val="16"/>
        </w:rPr>
        <w:footnoteReference w:customMarkFollows="1" w:id="29"/>
        <w:t>4</w:t>
      </w:r>
      <w:r>
        <w:rPr>
          <w:sz w:val="20"/>
          <w:szCs w:val="16"/>
        </w:rPr>
        <w:t>.</w:t>
      </w:r>
    </w:p>
    <w:p w14:paraId="5C893E72" w14:textId="77777777" w:rsidR="00CD484C" w:rsidRDefault="00CD484C">
      <w:pPr>
        <w:ind w:firstLine="397"/>
        <w:jc w:val="both"/>
        <w:rPr>
          <w:sz w:val="20"/>
          <w:szCs w:val="16"/>
        </w:rPr>
      </w:pPr>
      <w:r>
        <w:rPr>
          <w:sz w:val="20"/>
          <w:szCs w:val="16"/>
        </w:rPr>
        <w:lastRenderedPageBreak/>
        <w:t>Согласно методике анализа  кладов осуществим хронолого-династийное распределение клада, опираясь на определения В.Г. Тизенгаузена. Судя по  архивной выписке нумизмат установил наличие в кладе, насчитывающем 407 монет, только 400 дирхемов, могущих быть соотнесены в соответствии принятой методикой изучения кладов. 7 монет были определены как подражания (№№ 391–407) и, наконец, еще 1 дирхем, битый от имени Исмаила б. Ахмеда (882–907) не имеет года и места чеканки (№ 131 описи)</w:t>
      </w:r>
      <w:r>
        <w:rPr>
          <w:rStyle w:val="a6"/>
          <w:sz w:val="20"/>
          <w:szCs w:val="16"/>
        </w:rPr>
        <w:footnoteReference w:customMarkFollows="1" w:id="30"/>
        <w:t>5</w:t>
      </w:r>
      <w:r>
        <w:rPr>
          <w:sz w:val="20"/>
          <w:szCs w:val="16"/>
        </w:rPr>
        <w:t>.</w:t>
      </w:r>
    </w:p>
    <w:p w14:paraId="182D79D4" w14:textId="77777777" w:rsidR="00CD484C" w:rsidRDefault="00CD484C">
      <w:pPr>
        <w:ind w:firstLine="397"/>
        <w:jc w:val="both"/>
        <w:rPr>
          <w:sz w:val="20"/>
          <w:szCs w:val="16"/>
        </w:rPr>
      </w:pPr>
      <w:r>
        <w:rPr>
          <w:sz w:val="20"/>
          <w:szCs w:val="16"/>
        </w:rPr>
        <w:t xml:space="preserve">Хронолого-династийное распределение, представленное в табл. 1, показывает, что: старшими монетами клада являются даже не аббасидские монеты, а  собственно саманидские, выпущенные в аш-Шаше и Самарканде  в 283 и 284 гг. соответственно. Они составляют пол-процента состава клада. Определяющей группой монет, характеризующей денежное обращение, являются две младшие хроногруппы, при этом, обращает внимание резкое превышение младшей ХГ над ей предшествующей – более чем двукратное. Подобное явление, свидетельствующее по нашему мнению о транзитности потока представленного монетами данного хронологического периода на рынке получения изучаемого комплекса. Усиливающийся импульс среднеазиатской чеканки вплоть до первой половины правления Насра б. Ахмеда (914–933), отмеченный в свое время В.Л. Яниным, нашел конкретное подтверждение в кладах Восточной Европы. </w:t>
      </w:r>
    </w:p>
    <w:p w14:paraId="23A76866" w14:textId="77777777" w:rsidR="00CD484C" w:rsidRDefault="00CD484C">
      <w:pPr>
        <w:ind w:firstLine="397"/>
        <w:jc w:val="center"/>
        <w:rPr>
          <w:b/>
          <w:bCs/>
          <w:i/>
          <w:iCs/>
          <w:sz w:val="20"/>
          <w:szCs w:val="16"/>
        </w:rPr>
      </w:pPr>
    </w:p>
    <w:p w14:paraId="685CD53D" w14:textId="77777777" w:rsidR="00CD484C" w:rsidRDefault="00CD484C">
      <w:pPr>
        <w:jc w:val="right"/>
        <w:rPr>
          <w:sz w:val="20"/>
          <w:szCs w:val="16"/>
        </w:rPr>
      </w:pPr>
      <w:r>
        <w:rPr>
          <w:i/>
          <w:iCs/>
          <w:sz w:val="20"/>
          <w:szCs w:val="16"/>
        </w:rPr>
        <w:t>Таблица 1</w:t>
      </w:r>
    </w:p>
    <w:p w14:paraId="4C6D6A3D" w14:textId="77777777" w:rsidR="00CD484C" w:rsidRDefault="00CD484C">
      <w:pPr>
        <w:spacing w:after="120"/>
        <w:jc w:val="center"/>
        <w:rPr>
          <w:b/>
          <w:bCs/>
          <w:sz w:val="20"/>
          <w:szCs w:val="16"/>
        </w:rPr>
      </w:pPr>
      <w:r>
        <w:rPr>
          <w:b/>
          <w:bCs/>
          <w:sz w:val="20"/>
          <w:szCs w:val="16"/>
        </w:rPr>
        <w:t>Богдановский клад 1885 г. Хронолого-династийное распределение. Численные значения*</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1290"/>
        <w:gridCol w:w="959"/>
        <w:gridCol w:w="1080"/>
        <w:gridCol w:w="1096"/>
      </w:tblGrid>
      <w:tr w:rsidR="00CD484C" w14:paraId="6E4C1BF8" w14:textId="77777777">
        <w:trPr>
          <w:trHeight w:val="260"/>
          <w:jc w:val="center"/>
        </w:trPr>
        <w:tc>
          <w:tcPr>
            <w:tcW w:w="1290" w:type="dxa"/>
          </w:tcPr>
          <w:p w14:paraId="1C918147" w14:textId="77777777" w:rsidR="00CD484C" w:rsidRDefault="00CD484C">
            <w:pPr>
              <w:ind w:firstLine="397"/>
              <w:jc w:val="both"/>
              <w:rPr>
                <w:sz w:val="20"/>
                <w:szCs w:val="16"/>
              </w:rPr>
            </w:pPr>
            <w:r>
              <w:rPr>
                <w:sz w:val="20"/>
                <w:szCs w:val="16"/>
              </w:rPr>
              <w:t xml:space="preserve"> </w:t>
            </w:r>
          </w:p>
        </w:tc>
        <w:tc>
          <w:tcPr>
            <w:tcW w:w="959" w:type="dxa"/>
          </w:tcPr>
          <w:p w14:paraId="15192F7A" w14:textId="77777777" w:rsidR="00CD484C" w:rsidRDefault="00CD484C">
            <w:pPr>
              <w:jc w:val="center"/>
              <w:rPr>
                <w:sz w:val="20"/>
                <w:szCs w:val="16"/>
              </w:rPr>
            </w:pPr>
            <w:r>
              <w:rPr>
                <w:sz w:val="20"/>
                <w:szCs w:val="16"/>
              </w:rPr>
              <w:t>284</w:t>
            </w:r>
          </w:p>
        </w:tc>
        <w:tc>
          <w:tcPr>
            <w:tcW w:w="1080" w:type="dxa"/>
          </w:tcPr>
          <w:p w14:paraId="023F1505" w14:textId="77777777" w:rsidR="00CD484C" w:rsidRDefault="00CD484C">
            <w:pPr>
              <w:jc w:val="center"/>
              <w:rPr>
                <w:sz w:val="20"/>
                <w:szCs w:val="16"/>
              </w:rPr>
            </w:pPr>
            <w:r>
              <w:rPr>
                <w:sz w:val="20"/>
                <w:szCs w:val="16"/>
              </w:rPr>
              <w:t>285- 294/306</w:t>
            </w:r>
          </w:p>
        </w:tc>
        <w:tc>
          <w:tcPr>
            <w:tcW w:w="1096" w:type="dxa"/>
          </w:tcPr>
          <w:p w14:paraId="49160F0C" w14:textId="77777777" w:rsidR="00CD484C" w:rsidRDefault="00CD484C">
            <w:pPr>
              <w:jc w:val="center"/>
              <w:rPr>
                <w:sz w:val="20"/>
                <w:szCs w:val="16"/>
              </w:rPr>
            </w:pPr>
            <w:r>
              <w:rPr>
                <w:sz w:val="20"/>
                <w:szCs w:val="16"/>
              </w:rPr>
              <w:t>295-304/916</w:t>
            </w:r>
          </w:p>
        </w:tc>
      </w:tr>
      <w:tr w:rsidR="00CD484C" w14:paraId="4E83B956" w14:textId="77777777">
        <w:trPr>
          <w:trHeight w:val="260"/>
          <w:jc w:val="center"/>
        </w:trPr>
        <w:tc>
          <w:tcPr>
            <w:tcW w:w="1290" w:type="dxa"/>
          </w:tcPr>
          <w:p w14:paraId="78D9FD6A" w14:textId="77777777" w:rsidR="00CD484C" w:rsidRDefault="00CD484C">
            <w:pPr>
              <w:jc w:val="both"/>
              <w:rPr>
                <w:sz w:val="20"/>
                <w:szCs w:val="16"/>
              </w:rPr>
            </w:pPr>
            <w:r>
              <w:rPr>
                <w:sz w:val="20"/>
                <w:szCs w:val="16"/>
              </w:rPr>
              <w:t>Аббасиды</w:t>
            </w:r>
          </w:p>
        </w:tc>
        <w:tc>
          <w:tcPr>
            <w:tcW w:w="959" w:type="dxa"/>
          </w:tcPr>
          <w:p w14:paraId="5DDBC351" w14:textId="77777777" w:rsidR="00CD484C" w:rsidRDefault="00CD484C">
            <w:pPr>
              <w:ind w:firstLine="397"/>
              <w:jc w:val="both"/>
              <w:rPr>
                <w:sz w:val="20"/>
                <w:szCs w:val="16"/>
              </w:rPr>
            </w:pPr>
          </w:p>
        </w:tc>
        <w:tc>
          <w:tcPr>
            <w:tcW w:w="1080" w:type="dxa"/>
          </w:tcPr>
          <w:p w14:paraId="52E0E559" w14:textId="77777777" w:rsidR="00CD484C" w:rsidRDefault="00CD484C">
            <w:pPr>
              <w:jc w:val="center"/>
              <w:rPr>
                <w:sz w:val="20"/>
                <w:szCs w:val="16"/>
              </w:rPr>
            </w:pPr>
            <w:r>
              <w:rPr>
                <w:sz w:val="20"/>
                <w:szCs w:val="16"/>
              </w:rPr>
              <w:t>1/0,25</w:t>
            </w:r>
          </w:p>
        </w:tc>
        <w:tc>
          <w:tcPr>
            <w:tcW w:w="1096" w:type="dxa"/>
          </w:tcPr>
          <w:p w14:paraId="18CB68E4" w14:textId="77777777" w:rsidR="00CD484C" w:rsidRDefault="00CD484C">
            <w:pPr>
              <w:jc w:val="center"/>
              <w:rPr>
                <w:sz w:val="20"/>
                <w:szCs w:val="16"/>
              </w:rPr>
            </w:pPr>
          </w:p>
        </w:tc>
      </w:tr>
      <w:tr w:rsidR="00CD484C" w14:paraId="060E261B" w14:textId="77777777">
        <w:trPr>
          <w:trHeight w:val="260"/>
          <w:jc w:val="center"/>
        </w:trPr>
        <w:tc>
          <w:tcPr>
            <w:tcW w:w="2249" w:type="dxa"/>
            <w:gridSpan w:val="2"/>
          </w:tcPr>
          <w:p w14:paraId="2E69EF29" w14:textId="77777777" w:rsidR="00CD484C" w:rsidRDefault="00CD484C">
            <w:pPr>
              <w:jc w:val="both"/>
              <w:rPr>
                <w:sz w:val="20"/>
                <w:szCs w:val="16"/>
              </w:rPr>
            </w:pPr>
            <w:r>
              <w:rPr>
                <w:sz w:val="20"/>
                <w:szCs w:val="16"/>
              </w:rPr>
              <w:t>Саффвриды</w:t>
            </w:r>
          </w:p>
        </w:tc>
        <w:tc>
          <w:tcPr>
            <w:tcW w:w="1080" w:type="dxa"/>
          </w:tcPr>
          <w:p w14:paraId="3108C658" w14:textId="77777777" w:rsidR="00CD484C" w:rsidRDefault="00CD484C">
            <w:pPr>
              <w:jc w:val="center"/>
              <w:rPr>
                <w:sz w:val="20"/>
                <w:szCs w:val="16"/>
              </w:rPr>
            </w:pPr>
            <w:r>
              <w:rPr>
                <w:sz w:val="20"/>
                <w:szCs w:val="16"/>
              </w:rPr>
              <w:t>1/0,25</w:t>
            </w:r>
          </w:p>
        </w:tc>
        <w:tc>
          <w:tcPr>
            <w:tcW w:w="1096" w:type="dxa"/>
          </w:tcPr>
          <w:p w14:paraId="38ADFEA1" w14:textId="77777777" w:rsidR="00CD484C" w:rsidRDefault="00CD484C">
            <w:pPr>
              <w:jc w:val="center"/>
              <w:rPr>
                <w:sz w:val="20"/>
                <w:szCs w:val="16"/>
              </w:rPr>
            </w:pPr>
            <w:r>
              <w:rPr>
                <w:sz w:val="20"/>
                <w:szCs w:val="16"/>
              </w:rPr>
              <w:t>1/0,25</w:t>
            </w:r>
          </w:p>
        </w:tc>
      </w:tr>
      <w:tr w:rsidR="00CD484C" w14:paraId="01197943" w14:textId="77777777">
        <w:trPr>
          <w:trHeight w:val="260"/>
          <w:jc w:val="center"/>
        </w:trPr>
        <w:tc>
          <w:tcPr>
            <w:tcW w:w="1290" w:type="dxa"/>
          </w:tcPr>
          <w:p w14:paraId="67D89573" w14:textId="77777777" w:rsidR="00CD484C" w:rsidRDefault="00CD484C">
            <w:pPr>
              <w:jc w:val="both"/>
              <w:rPr>
                <w:sz w:val="20"/>
                <w:szCs w:val="16"/>
              </w:rPr>
            </w:pPr>
            <w:r>
              <w:rPr>
                <w:sz w:val="20"/>
                <w:szCs w:val="16"/>
              </w:rPr>
              <w:t>Саманиды</w:t>
            </w:r>
          </w:p>
        </w:tc>
        <w:tc>
          <w:tcPr>
            <w:tcW w:w="959" w:type="dxa"/>
          </w:tcPr>
          <w:p w14:paraId="7AEA4D17" w14:textId="77777777" w:rsidR="00CD484C" w:rsidRDefault="00CD484C">
            <w:pPr>
              <w:jc w:val="center"/>
              <w:rPr>
                <w:sz w:val="20"/>
                <w:szCs w:val="16"/>
              </w:rPr>
            </w:pPr>
            <w:r>
              <w:rPr>
                <w:sz w:val="20"/>
                <w:szCs w:val="16"/>
              </w:rPr>
              <w:t>2/0,5</w:t>
            </w:r>
          </w:p>
        </w:tc>
        <w:tc>
          <w:tcPr>
            <w:tcW w:w="1080" w:type="dxa"/>
          </w:tcPr>
          <w:p w14:paraId="099C7647" w14:textId="77777777" w:rsidR="00CD484C" w:rsidRDefault="00CD484C">
            <w:pPr>
              <w:jc w:val="center"/>
              <w:rPr>
                <w:sz w:val="20"/>
                <w:szCs w:val="16"/>
              </w:rPr>
            </w:pPr>
            <w:r>
              <w:rPr>
                <w:sz w:val="20"/>
                <w:szCs w:val="16"/>
              </w:rPr>
              <w:t>123/30,75</w:t>
            </w:r>
          </w:p>
        </w:tc>
        <w:tc>
          <w:tcPr>
            <w:tcW w:w="1096" w:type="dxa"/>
          </w:tcPr>
          <w:p w14:paraId="52722C47" w14:textId="77777777" w:rsidR="00CD484C" w:rsidRDefault="00CD484C">
            <w:pPr>
              <w:jc w:val="center"/>
              <w:rPr>
                <w:sz w:val="20"/>
                <w:szCs w:val="16"/>
              </w:rPr>
            </w:pPr>
            <w:r>
              <w:rPr>
                <w:sz w:val="20"/>
                <w:szCs w:val="16"/>
              </w:rPr>
              <w:t>261/65,25</w:t>
            </w:r>
          </w:p>
        </w:tc>
      </w:tr>
      <w:tr w:rsidR="00CD484C" w14:paraId="5BE46153" w14:textId="77777777">
        <w:trPr>
          <w:trHeight w:val="260"/>
          <w:jc w:val="center"/>
        </w:trPr>
        <w:tc>
          <w:tcPr>
            <w:tcW w:w="2249" w:type="dxa"/>
            <w:gridSpan w:val="2"/>
          </w:tcPr>
          <w:p w14:paraId="494DAE2B" w14:textId="77777777" w:rsidR="00CD484C" w:rsidRDefault="00CD484C">
            <w:pPr>
              <w:jc w:val="both"/>
              <w:rPr>
                <w:sz w:val="20"/>
                <w:szCs w:val="16"/>
              </w:rPr>
            </w:pPr>
            <w:r>
              <w:rPr>
                <w:sz w:val="20"/>
                <w:szCs w:val="16"/>
              </w:rPr>
              <w:t>подражания</w:t>
            </w:r>
          </w:p>
        </w:tc>
        <w:tc>
          <w:tcPr>
            <w:tcW w:w="1080" w:type="dxa"/>
          </w:tcPr>
          <w:p w14:paraId="441F959E" w14:textId="77777777" w:rsidR="00CD484C" w:rsidRDefault="00CD484C">
            <w:pPr>
              <w:jc w:val="center"/>
              <w:rPr>
                <w:sz w:val="20"/>
                <w:szCs w:val="16"/>
              </w:rPr>
            </w:pPr>
            <w:r>
              <w:rPr>
                <w:sz w:val="20"/>
                <w:szCs w:val="16"/>
              </w:rPr>
              <w:t>5/1,25</w:t>
            </w:r>
          </w:p>
        </w:tc>
        <w:tc>
          <w:tcPr>
            <w:tcW w:w="1096" w:type="dxa"/>
          </w:tcPr>
          <w:p w14:paraId="0ABBA638" w14:textId="77777777" w:rsidR="00CD484C" w:rsidRDefault="00CD484C">
            <w:pPr>
              <w:jc w:val="center"/>
              <w:rPr>
                <w:sz w:val="20"/>
                <w:szCs w:val="16"/>
              </w:rPr>
            </w:pPr>
            <w:r>
              <w:rPr>
                <w:sz w:val="20"/>
                <w:szCs w:val="16"/>
              </w:rPr>
              <w:t>6/1,5</w:t>
            </w:r>
          </w:p>
        </w:tc>
      </w:tr>
    </w:tbl>
    <w:p w14:paraId="637682B8" w14:textId="77777777" w:rsidR="00CD484C" w:rsidRDefault="00CD484C">
      <w:pPr>
        <w:jc w:val="both"/>
        <w:rPr>
          <w:sz w:val="18"/>
          <w:szCs w:val="16"/>
        </w:rPr>
      </w:pPr>
    </w:p>
    <w:p w14:paraId="5481B751" w14:textId="77777777" w:rsidR="00CD484C" w:rsidRDefault="00CD484C">
      <w:pPr>
        <w:jc w:val="both"/>
        <w:rPr>
          <w:sz w:val="18"/>
          <w:szCs w:val="16"/>
        </w:rPr>
      </w:pPr>
      <w:r>
        <w:rPr>
          <w:sz w:val="18"/>
          <w:szCs w:val="16"/>
        </w:rPr>
        <w:t>*В числителе количество монет, в знаменателе его процентное соотношение.</w:t>
      </w:r>
    </w:p>
    <w:p w14:paraId="0F627C8A" w14:textId="77777777" w:rsidR="00CD484C" w:rsidRDefault="00CD484C">
      <w:pPr>
        <w:ind w:firstLine="397"/>
        <w:jc w:val="both"/>
        <w:rPr>
          <w:sz w:val="20"/>
          <w:szCs w:val="16"/>
        </w:rPr>
      </w:pPr>
    </w:p>
    <w:p w14:paraId="50507301" w14:textId="77777777" w:rsidR="00CD484C" w:rsidRDefault="00CD484C">
      <w:pPr>
        <w:ind w:firstLine="397"/>
        <w:jc w:val="both"/>
        <w:rPr>
          <w:sz w:val="20"/>
          <w:szCs w:val="16"/>
        </w:rPr>
      </w:pPr>
      <w:r>
        <w:rPr>
          <w:sz w:val="20"/>
          <w:szCs w:val="16"/>
        </w:rPr>
        <w:t>Практически синхронный клад, но найденный непосредственно в Казанской губернии в 1840 г., опубликованный Марковым весьма обобщенно,  демонстрирует, пожалуй, аналогичную картину.</w:t>
      </w:r>
    </w:p>
    <w:p w14:paraId="3958C208" w14:textId="273E71A7" w:rsidR="00CD484C" w:rsidRDefault="00395416">
      <w:pPr>
        <w:ind w:firstLine="397"/>
        <w:jc w:val="both"/>
        <w:rPr>
          <w:sz w:val="20"/>
          <w:szCs w:val="16"/>
        </w:rPr>
      </w:pPr>
      <w:r>
        <w:rPr>
          <w:noProof/>
          <w:sz w:val="20"/>
          <w:szCs w:val="16"/>
        </w:rPr>
        <w:lastRenderedPageBreak/>
        <mc:AlternateContent>
          <mc:Choice Requires="wps">
            <w:drawing>
              <wp:anchor distT="0" distB="0" distL="114300" distR="114300" simplePos="0" relativeHeight="251641344" behindDoc="0" locked="1" layoutInCell="1" allowOverlap="1" wp14:anchorId="4EA69FFE" wp14:editId="5247CADD">
                <wp:simplePos x="0" y="0"/>
                <wp:positionH relativeFrom="column">
                  <wp:posOffset>0</wp:posOffset>
                </wp:positionH>
                <wp:positionV relativeFrom="paragraph">
                  <wp:posOffset>-252730</wp:posOffset>
                </wp:positionV>
                <wp:extent cx="4095750" cy="186690"/>
                <wp:effectExtent l="0" t="0" r="2540" b="0"/>
                <wp:wrapNone/>
                <wp:docPr id="1769431653"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59F93"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7ED7ABA8"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69FFE" id="Text Box 197" o:spid="_x0000_s1047" type="#_x0000_t202" style="position:absolute;left:0;text-align:left;margin-left:0;margin-top:-19.9pt;width:322.5pt;height:14.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f1XUr7wEAAMIDAAAOAAAAAAAAAAAAAAAAAC4CAABkcnMvZTJv&#10;RG9jLnhtbFBLAQItABQABgAIAAAAIQCnTgMH3gAAAAgBAAAPAAAAAAAAAAAAAAAAAEkEAABkcnMv&#10;ZG93bnJldi54bWxQSwUGAAAAAAQABADzAAAAVAUAAAAA&#10;" stroked="f">
                <v:textbox inset="0,0,0,0">
                  <w:txbxContent>
                    <w:p w14:paraId="5B559F93"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7ED7ABA8" w14:textId="77777777" w:rsidR="00AE2133" w:rsidRDefault="00AE2133">
                      <w:pPr>
                        <w:rPr>
                          <w:b/>
                          <w:bCs/>
                          <w:sz w:val="2"/>
                          <w:u w:val="single"/>
                        </w:rPr>
                      </w:pPr>
                    </w:p>
                  </w:txbxContent>
                </v:textbox>
                <w10:anchorlock/>
              </v:shape>
            </w:pict>
          </mc:Fallback>
        </mc:AlternateContent>
      </w:r>
      <w:r w:rsidR="00CD484C">
        <w:rPr>
          <w:sz w:val="20"/>
          <w:szCs w:val="16"/>
        </w:rPr>
        <w:t>«В Казанской губ. в 1840 г. найден был клад из 365 куфических монет. Из них только четыре принадле</w:t>
      </w:r>
      <w:r w:rsidR="00CD484C">
        <w:rPr>
          <w:sz w:val="20"/>
          <w:szCs w:val="16"/>
        </w:rPr>
        <w:softHyphen/>
        <w:t>жали аббасидским халифам, а были чеканены в Багдаде. Древнейшая из них чеканена в 191 г.(=806 г. по Р. X.); 6 прина</w:t>
      </w:r>
      <w:r w:rsidR="00CD484C">
        <w:rPr>
          <w:sz w:val="20"/>
          <w:szCs w:val="16"/>
        </w:rPr>
        <w:softHyphen/>
        <w:t>длежали Саффаридам в были чеканены в Зерендже и Ширазе, а остальные диргемы (355 штук) были саманидские, чека</w:t>
      </w:r>
      <w:r w:rsidR="00CD484C">
        <w:rPr>
          <w:sz w:val="20"/>
          <w:szCs w:val="16"/>
        </w:rPr>
        <w:softHyphen/>
        <w:t>ненные при Исмаиле и его сыне Ахмеде в аш-Шаше, Самарканде, Эндерабе, Балхе Бияре, Нисабуре, Маадене, Псенджехире и Mepве, в 280–301 г.г. (=893–913 г. по Р.X.). Шашских диргемов было 198, Самаркандских 72, Эндерабских 46, Балхских 8, Нисабурских 4, а монет прочих городов по 1, по 2» (Марков А.К., 1910. – С. 11. № 56).</w:t>
      </w:r>
    </w:p>
    <w:p w14:paraId="1D18907D" w14:textId="77777777" w:rsidR="00CD484C" w:rsidRDefault="00CD484C">
      <w:pPr>
        <w:pStyle w:val="a5"/>
        <w:ind w:firstLine="397"/>
        <w:jc w:val="both"/>
        <w:rPr>
          <w:spacing w:val="4"/>
        </w:rPr>
      </w:pPr>
      <w:r>
        <w:rPr>
          <w:spacing w:val="4"/>
        </w:rPr>
        <w:t xml:space="preserve">Клад интересен тем, что 355 саманидских дирхемов были выпущены также за период 21 год, хотя клад, заметим, старше всего на 3 года Богдановского и, думается, можно используя метод аналогий, интерпретировать графически  данный клад, как и клад Богдановский, но будет большой ошибкой, в случае признания того факта, что 355 саманидских монет могут быть просто поделены по двум десятилетним периодам, предшествующей ММ – это сможет возможным, в том числе и при учете старших монет, каковых в кладе 10 экз., т.к. в рассмотренном выше Богдановском кладе старшими монетами являются, как уже отмечалось, собственно саманидские. При этом следует использовать методику хронолого-династийного анализа состава кладов, где в числе непременных условий лежит положение о том, что «опаснее всего, было бы подойти к решению этого вопроса крайне механически» (Янин В.Л., 1956. – С. 65). </w:t>
      </w:r>
    </w:p>
    <w:p w14:paraId="526BCE3F" w14:textId="77777777" w:rsidR="00CD484C" w:rsidRDefault="00CD484C">
      <w:pPr>
        <w:pStyle w:val="a5"/>
        <w:ind w:firstLine="397"/>
        <w:jc w:val="both"/>
        <w:rPr>
          <w:spacing w:val="4"/>
        </w:rPr>
      </w:pPr>
      <w:r>
        <w:rPr>
          <w:spacing w:val="4"/>
        </w:rPr>
        <w:t>Мы должны быть благодарны А.К. Маркову за публикацию эмиссионного распределения Казанского клада 1840 г., что позволило  нам представить таковое графически /Рис. 3/, где видно, что абсолютное большинство монет – 55,71% выпущено на монетном дворе аш-Шаша. Относительное большинство дирхемов аш-Шаша (46,41) представлено в Богдановском кладе. /Рис. 4/. Эти показания, а кроме того, относительная близость графических распределений эмиссионных центров, представленными монетами обоих кладов, позволяет заключить, что оба  депозита каким-то образом связаны, а сам монетный поток стартовал в аш-Шаше. Близость эмиссионных распределений, приведенных выше позволяет реконструировать и хронологическое распределение состава клада Казанской губернии 1840 г., которое, по-видимому, должно быть практически тождественно хронологическому распределению Богдановского клада с той лишь разницей, что  превалирование младшей ХГ в кладе 1840 г. может носить еще более подавляющий характер.</w:t>
      </w:r>
    </w:p>
    <w:p w14:paraId="0CD421A1" w14:textId="77777777" w:rsidR="00CD484C" w:rsidRDefault="00CD484C">
      <w:pPr>
        <w:ind w:firstLine="397"/>
        <w:jc w:val="both"/>
        <w:rPr>
          <w:sz w:val="20"/>
          <w:szCs w:val="16"/>
        </w:rPr>
      </w:pPr>
    </w:p>
    <w:p w14:paraId="411ACFB1" w14:textId="36DEC9AB" w:rsidR="00CD484C" w:rsidRDefault="00395416">
      <w:pPr>
        <w:jc w:val="center"/>
        <w:rPr>
          <w:sz w:val="20"/>
          <w:szCs w:val="16"/>
        </w:rPr>
      </w:pPr>
      <w:r>
        <w:rPr>
          <w:noProof/>
          <w:sz w:val="20"/>
          <w:szCs w:val="16"/>
        </w:rPr>
        <w:lastRenderedPageBreak/>
        <mc:AlternateContent>
          <mc:Choice Requires="wps">
            <w:drawing>
              <wp:anchor distT="0" distB="0" distL="114300" distR="114300" simplePos="0" relativeHeight="251614720" behindDoc="0" locked="0" layoutInCell="1" allowOverlap="1" wp14:anchorId="6954AD69" wp14:editId="5FBED42E">
                <wp:simplePos x="0" y="0"/>
                <wp:positionH relativeFrom="column">
                  <wp:posOffset>1257300</wp:posOffset>
                </wp:positionH>
                <wp:positionV relativeFrom="paragraph">
                  <wp:posOffset>26035</wp:posOffset>
                </wp:positionV>
                <wp:extent cx="1600200" cy="179705"/>
                <wp:effectExtent l="0" t="0" r="3810" b="3175"/>
                <wp:wrapNone/>
                <wp:docPr id="202513995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0D2FD" id="Rectangle 20" o:spid="_x0000_s1026" style="position:absolute;margin-left:99pt;margin-top:2.05pt;width:126pt;height:14.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" stroked="f"/>
            </w:pict>
          </mc:Fallback>
        </mc:AlternateContent>
      </w:r>
      <w:r>
        <w:rPr>
          <w:noProof/>
          <w:sz w:val="20"/>
          <w:szCs w:val="16"/>
        </w:rPr>
        <w:drawing>
          <wp:inline distT="0" distB="0" distL="0" distR="0" wp14:anchorId="0F4606BB" wp14:editId="1C93AFC6">
            <wp:extent cx="2846705" cy="211709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C9E879A" w14:textId="77777777" w:rsidR="00CD484C" w:rsidRDefault="00CD484C">
      <w:pPr>
        <w:jc w:val="center"/>
        <w:rPr>
          <w:b/>
          <w:bCs/>
          <w:i/>
          <w:iCs/>
          <w:sz w:val="18"/>
          <w:szCs w:val="16"/>
        </w:rPr>
      </w:pPr>
    </w:p>
    <w:p w14:paraId="28C4F1AB" w14:textId="77777777" w:rsidR="00CD484C" w:rsidRDefault="00CD484C">
      <w:pPr>
        <w:jc w:val="center"/>
        <w:rPr>
          <w:i/>
          <w:iCs/>
          <w:sz w:val="18"/>
          <w:szCs w:val="16"/>
        </w:rPr>
      </w:pPr>
      <w:r>
        <w:rPr>
          <w:b/>
          <w:bCs/>
          <w:i/>
          <w:iCs/>
          <w:sz w:val="18"/>
          <w:szCs w:val="16"/>
        </w:rPr>
        <w:t>Рис. 3.</w:t>
      </w:r>
      <w:r>
        <w:rPr>
          <w:i/>
          <w:iCs/>
          <w:sz w:val="18"/>
          <w:szCs w:val="16"/>
        </w:rPr>
        <w:t xml:space="preserve"> Эмиссионное распределение клада из Казанской губ. 1840 г.</w:t>
      </w:r>
    </w:p>
    <w:p w14:paraId="2677F4FB" w14:textId="77777777" w:rsidR="00CD484C" w:rsidRDefault="00CD484C">
      <w:pPr>
        <w:jc w:val="both"/>
        <w:rPr>
          <w:sz w:val="20"/>
          <w:szCs w:val="16"/>
        </w:rPr>
      </w:pPr>
    </w:p>
    <w:p w14:paraId="62FDFC13" w14:textId="1714A197" w:rsidR="00CD484C" w:rsidRDefault="00395416">
      <w:pPr>
        <w:jc w:val="center"/>
        <w:rPr>
          <w:sz w:val="20"/>
          <w:szCs w:val="16"/>
        </w:rPr>
      </w:pPr>
      <w:r>
        <w:rPr>
          <w:noProof/>
          <w:sz w:val="20"/>
          <w:szCs w:val="16"/>
        </w:rPr>
        <w:drawing>
          <wp:inline distT="0" distB="0" distL="0" distR="0" wp14:anchorId="0C7CDA60" wp14:editId="48EBBF3F">
            <wp:extent cx="2961005" cy="2334895"/>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4BC5C43" w14:textId="77777777" w:rsidR="00CD484C" w:rsidRDefault="00CD484C">
      <w:pPr>
        <w:jc w:val="center"/>
        <w:rPr>
          <w:b/>
          <w:bCs/>
          <w:i/>
          <w:iCs/>
          <w:sz w:val="18"/>
          <w:szCs w:val="16"/>
        </w:rPr>
      </w:pPr>
    </w:p>
    <w:p w14:paraId="092C5DBF" w14:textId="77777777" w:rsidR="00CD484C" w:rsidRDefault="00CD484C">
      <w:pPr>
        <w:jc w:val="center"/>
        <w:rPr>
          <w:i/>
          <w:iCs/>
          <w:sz w:val="18"/>
          <w:szCs w:val="16"/>
        </w:rPr>
      </w:pPr>
      <w:r>
        <w:rPr>
          <w:b/>
          <w:bCs/>
          <w:i/>
          <w:iCs/>
          <w:sz w:val="18"/>
          <w:szCs w:val="16"/>
        </w:rPr>
        <w:t xml:space="preserve">Рис. 4. </w:t>
      </w:r>
      <w:r>
        <w:rPr>
          <w:i/>
          <w:iCs/>
          <w:sz w:val="18"/>
          <w:szCs w:val="16"/>
        </w:rPr>
        <w:t>Эмиссионное распределение Богдановского клада 1885 г.</w:t>
      </w:r>
    </w:p>
    <w:p w14:paraId="06150EFB" w14:textId="77777777" w:rsidR="00CD484C" w:rsidRDefault="00CD484C">
      <w:pPr>
        <w:ind w:firstLine="397"/>
        <w:jc w:val="both"/>
        <w:rPr>
          <w:sz w:val="20"/>
          <w:szCs w:val="16"/>
        </w:rPr>
      </w:pPr>
    </w:p>
    <w:p w14:paraId="70EC5533" w14:textId="6C745702" w:rsidR="00CD484C" w:rsidRDefault="00CD484C">
      <w:pPr>
        <w:ind w:firstLine="397"/>
        <w:jc w:val="both"/>
        <w:rPr>
          <w:sz w:val="20"/>
          <w:szCs w:val="16"/>
        </w:rPr>
      </w:pPr>
      <w:r>
        <w:rPr>
          <w:sz w:val="20"/>
          <w:szCs w:val="16"/>
        </w:rPr>
        <w:t>Вместе с тем, отметим отсутствие подражаний, также аргументирующее транзитность монетного потока в пункте находки клада, в отличие от клада, найденного в верховьях Чепцы. В то время как и в депозите 1840 г. и в кладе Богдановском наличествует эмиссионная связка, где мервские монеты не более двух, при 4 нисабурских монетах позволяют высказать предположение о существовании географической связка Ниса</w:t>
      </w:r>
      <w:r w:rsidR="00395416">
        <w:rPr>
          <w:noProof/>
          <w:sz w:val="20"/>
          <w:szCs w:val="16"/>
        </w:rPr>
        <mc:AlternateContent>
          <mc:Choice Requires="wps">
            <w:drawing>
              <wp:anchor distT="0" distB="0" distL="114300" distR="114300" simplePos="0" relativeHeight="251642368" behindDoc="0" locked="1" layoutInCell="1" allowOverlap="1" wp14:anchorId="708D82B0" wp14:editId="4089404B">
                <wp:simplePos x="0" y="0"/>
                <wp:positionH relativeFrom="column">
                  <wp:posOffset>0</wp:posOffset>
                </wp:positionH>
                <wp:positionV relativeFrom="paragraph">
                  <wp:posOffset>-252730</wp:posOffset>
                </wp:positionV>
                <wp:extent cx="4095750" cy="186690"/>
                <wp:effectExtent l="0" t="0" r="2540" b="0"/>
                <wp:wrapNone/>
                <wp:docPr id="211304832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0D123"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49740135"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D82B0" id="Text Box 198" o:spid="_x0000_s1048" type="#_x0000_t202" style="position:absolute;left:0;text-align:left;margin-left:0;margin-top:-19.9pt;width:322.5pt;height:14.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KworV7wEAAMIDAAAOAAAAAAAAAAAAAAAAAC4CAABkcnMvZTJv&#10;RG9jLnhtbFBLAQItABQABgAIAAAAIQCnTgMH3gAAAAgBAAAPAAAAAAAAAAAAAAAAAEkEAABkcnMv&#10;ZG93bnJldi54bWxQSwUGAAAAAAQABADzAAAAVAUAAAAA&#10;" stroked="f">
                <v:textbox inset="0,0,0,0">
                  <w:txbxContent>
                    <w:p w14:paraId="3A50D123"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49740135" w14:textId="77777777" w:rsidR="00AE2133" w:rsidRDefault="00AE2133">
                      <w:pPr>
                        <w:rPr>
                          <w:b/>
                          <w:bCs/>
                          <w:sz w:val="2"/>
                          <w:u w:val="single"/>
                        </w:rPr>
                      </w:pPr>
                    </w:p>
                  </w:txbxContent>
                </v:textbox>
                <w10:anchorlock/>
              </v:shape>
            </w:pict>
          </mc:Fallback>
        </mc:AlternateContent>
      </w:r>
      <w:r>
        <w:rPr>
          <w:sz w:val="20"/>
          <w:szCs w:val="16"/>
        </w:rPr>
        <w:t xml:space="preserve">бур – Мерв и в </w:t>
      </w:r>
      <w:r>
        <w:rPr>
          <w:sz w:val="20"/>
          <w:szCs w:val="16"/>
        </w:rPr>
        <w:lastRenderedPageBreak/>
        <w:t>этой связи вопрос о том  могла ли андерабская монета Богданоского клада с датой 307 г.х.(?) пройти по маршруту  Андераб – Герат – Мерв</w:t>
      </w:r>
      <w:r>
        <w:rPr>
          <w:rStyle w:val="a6"/>
          <w:sz w:val="20"/>
          <w:szCs w:val="16"/>
        </w:rPr>
        <w:footnoteReference w:customMarkFollows="1" w:id="31"/>
        <w:t>7</w:t>
      </w:r>
      <w:r>
        <w:rPr>
          <w:sz w:val="20"/>
          <w:szCs w:val="16"/>
        </w:rPr>
        <w:t xml:space="preserve"> можно считать уместным. </w:t>
      </w:r>
    </w:p>
    <w:p w14:paraId="358D7133" w14:textId="77777777" w:rsidR="00CD484C" w:rsidRDefault="00CD484C">
      <w:pPr>
        <w:ind w:firstLine="397"/>
        <w:jc w:val="both"/>
        <w:rPr>
          <w:sz w:val="20"/>
          <w:szCs w:val="16"/>
        </w:rPr>
      </w:pPr>
      <w:r>
        <w:rPr>
          <w:sz w:val="20"/>
          <w:szCs w:val="16"/>
        </w:rPr>
        <w:t xml:space="preserve">Как известно, материалы астраханского клада Красный десант 1970-х годов  (Фёдоров-Давыдов Г.А., 1988. – С. 47, № 45) демонстрируют путь самаркандской монетной массы, направленной через низовья Волгу в Хазарию. Материалы другого клада, найденного в 1856 г. в Ставропольском уезде Самарской губернии и введенного в научный оборот П.С. Савельевым </w:t>
      </w:r>
      <w:r>
        <w:rPr>
          <w:color w:val="000000"/>
          <w:sz w:val="20"/>
          <w:szCs w:val="16"/>
        </w:rPr>
        <w:t xml:space="preserve">(Марков А.К., 1910. – С. 41. №№ 227; Изв. РАО. 1859. Т. 1. – С. 92–194) </w:t>
      </w:r>
      <w:r>
        <w:rPr>
          <w:sz w:val="20"/>
          <w:szCs w:val="16"/>
        </w:rPr>
        <w:t>показывают, в частности, что 40% монет, правда, 20-х – 30-х гг. Х в. составляли монеты Самаркандской чеканки, превалируя над эмиссией аш-Шаша почти в два раза. Однако  в хронологическом срезе нас интересующем, т.е. в диапазоне 901–920-х годов в рассматриваемом кладе нет монет мавернаахрской чеканки. Данный депозит, образовавшийся в результате местного денежного обращения, просто не сохранил в своем обороте дензнаков этого времени (Хан Н.А., 2001. – С. 35–36; табл. 2). Тогда как превалирование монет самаркандской чеканки в кладе Красный десант в этой связи не может не свидетельствовать о транзитности самаркандского монетного потока через Итиль – и, изучение кладов, выпавших на следующем денежном рынке в плане эмиссионного распределения, должно показать, насколько верно высказанное предположение.</w:t>
      </w:r>
    </w:p>
    <w:p w14:paraId="0E3C8C1E" w14:textId="77777777" w:rsidR="00CD484C" w:rsidRDefault="00CD484C">
      <w:pPr>
        <w:ind w:firstLine="397"/>
        <w:jc w:val="both"/>
        <w:rPr>
          <w:sz w:val="20"/>
          <w:szCs w:val="16"/>
        </w:rPr>
      </w:pPr>
      <w:r>
        <w:rPr>
          <w:sz w:val="20"/>
          <w:szCs w:val="16"/>
        </w:rPr>
        <w:t>Изложенные материалы подтверждают высказанную А.В. Фоминым мысль о двух монетных потоках из Маверанахра в Европу (Фомин А.В., 1988а. – С. 192). Первый представлен чеканом Самарканда и выпал в низовьях Волги, тогда как второй – на территории Волжской Булгарии. Данный поток формировался в основном из монет аш-Шаша.</w:t>
      </w:r>
    </w:p>
    <w:p w14:paraId="43D82587" w14:textId="77777777" w:rsidR="00CD484C" w:rsidRDefault="00CD484C">
      <w:pPr>
        <w:pStyle w:val="a5"/>
        <w:ind w:firstLine="397"/>
        <w:jc w:val="both"/>
        <w:rPr>
          <w:szCs w:val="16"/>
        </w:rPr>
      </w:pPr>
      <w:r>
        <w:rPr>
          <w:szCs w:val="16"/>
        </w:rPr>
        <w:t>Если клад Красный десант с ММ 306 г.х., то булгаро-камские клады несколько старше 301 и 304(307? гг.). Причем, последний, Богдановский, выпал, скорее всего в результате пусть небольшого, но внутреннего денежного обращения о чем свидетельствуют подражания. По мнению Т.М. Калининой, русы начали поход в 910, т.е. до 300 г.х. и оставались на Южном побережье Каспия до 913 г., когда на обратном пути они погибли в результате вероломства Хазарии (Калинина Т.М., 1997. – С. 15–17)</w:t>
      </w:r>
      <w:r>
        <w:rPr>
          <w:rStyle w:val="a6"/>
          <w:szCs w:val="16"/>
        </w:rPr>
        <w:footnoteReference w:customMarkFollows="1" w:id="32"/>
        <w:t>8</w:t>
      </w:r>
      <w:r>
        <w:rPr>
          <w:szCs w:val="16"/>
        </w:rPr>
        <w:t xml:space="preserve">. Мы далеки от мысли связывать выпадение кладов  в 913, и 916 гг. в низовьях Камы с действиями  русов, даже разделяя точку зрения Фомина, состоящую в том, что выпадение кладов  Восточной Европы отнюдь не связано с походами викингов, но связано, прежде всего, с мощностью стартового импульса в </w:t>
      </w:r>
      <w:r>
        <w:rPr>
          <w:szCs w:val="16"/>
        </w:rPr>
        <w:lastRenderedPageBreak/>
        <w:t>странах-эмитентах монеты. В данном случае, следует  остановиться на тезисе В.Л. Янина и А.В. Фомина, согласно которому  существует связь младшей монеты и хронологического состава кладов. И это как раз то обстоятельство, когда Саманидская торговля с севером, используя неспокойную обстановку на Каспии выбросила на рынок Европы массу высококачественной серебряной монеты,  причем, осуществив это с двух рынков. Напомни, что М.Е. Массон и Е.А. Давидович показали существование в Маверанахре в Х в. трех областных денежных рынков: Бухара, Самарканд, Шаш (Давидович Е.А., 1966. – С. 112–113). Добавим, что горно-археологические исследования в горах Карамазара, обобщенные Ю.Ф. Буряковым показали об извлечении 1,25 млн. м</w:t>
      </w:r>
      <w:r>
        <w:rPr>
          <w:szCs w:val="16"/>
          <w:vertAlign w:val="superscript"/>
        </w:rPr>
        <w:t>3</w:t>
      </w:r>
      <w:r>
        <w:rPr>
          <w:szCs w:val="16"/>
        </w:rPr>
        <w:t xml:space="preserve"> свинцово-серебряной руды, добытой в средневековье.  Монету чеканили в основном два монетных двора – Самарканд и Тункет (аш-Шаш) (Буряков Ю.Ф., 1974. – С. 110–111).</w:t>
      </w:r>
    </w:p>
    <w:p w14:paraId="56248296" w14:textId="77777777" w:rsidR="00CD484C" w:rsidRDefault="00CD484C">
      <w:pPr>
        <w:ind w:firstLine="397"/>
        <w:jc w:val="both"/>
        <w:rPr>
          <w:sz w:val="20"/>
          <w:szCs w:val="16"/>
        </w:rPr>
      </w:pPr>
      <w:r>
        <w:rPr>
          <w:sz w:val="20"/>
          <w:szCs w:val="16"/>
        </w:rPr>
        <w:t>Попытаемся выделить – с целью верификации сделанных наблюдений – из саманидской составляющей огромного Муромского клада 1868 г. эмиссионную связку аш-Шаш – Самарканд. (РА ИИМК. Ф.1, 1868, № 143, лл. 18–20). /Рис. 5/.</w:t>
      </w:r>
    </w:p>
    <w:p w14:paraId="51B28677" w14:textId="77777777" w:rsidR="00CD484C" w:rsidRDefault="00CD484C">
      <w:pPr>
        <w:ind w:firstLine="397"/>
        <w:jc w:val="both"/>
        <w:rPr>
          <w:sz w:val="20"/>
          <w:szCs w:val="16"/>
        </w:rPr>
      </w:pPr>
    </w:p>
    <w:p w14:paraId="48DD5221" w14:textId="48370D71" w:rsidR="00CD484C" w:rsidRDefault="00395416">
      <w:pPr>
        <w:jc w:val="center"/>
        <w:rPr>
          <w:sz w:val="20"/>
          <w:szCs w:val="16"/>
        </w:rPr>
      </w:pPr>
      <w:r>
        <w:rPr>
          <w:noProof/>
          <w:sz w:val="20"/>
          <w:szCs w:val="16"/>
        </w:rPr>
        <w:drawing>
          <wp:inline distT="0" distB="0" distL="0" distR="0" wp14:anchorId="2CD24F52" wp14:editId="0DEFEBD5">
            <wp:extent cx="3602990" cy="2612390"/>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DA4A017" w14:textId="77777777" w:rsidR="00CD484C" w:rsidRDefault="00CD484C">
      <w:pPr>
        <w:ind w:firstLine="397"/>
        <w:jc w:val="center"/>
        <w:rPr>
          <w:i/>
          <w:iCs/>
          <w:sz w:val="20"/>
          <w:szCs w:val="16"/>
        </w:rPr>
      </w:pPr>
    </w:p>
    <w:p w14:paraId="5F9E85F8" w14:textId="77777777" w:rsidR="00CD484C" w:rsidRDefault="00CD484C">
      <w:pPr>
        <w:jc w:val="center"/>
        <w:rPr>
          <w:i/>
          <w:iCs/>
          <w:sz w:val="18"/>
          <w:szCs w:val="16"/>
        </w:rPr>
      </w:pPr>
      <w:r>
        <w:rPr>
          <w:b/>
          <w:bCs/>
          <w:i/>
          <w:iCs/>
          <w:sz w:val="18"/>
          <w:szCs w:val="16"/>
        </w:rPr>
        <w:t>Рис. 5.</w:t>
      </w:r>
      <w:r>
        <w:rPr>
          <w:i/>
          <w:iCs/>
          <w:sz w:val="18"/>
          <w:szCs w:val="16"/>
        </w:rPr>
        <w:t xml:space="preserve"> Муромский клад 1868 г. Хронолого-эмиссонное распределение</w:t>
      </w:r>
    </w:p>
    <w:p w14:paraId="5F865F6C" w14:textId="77777777" w:rsidR="00CD484C" w:rsidRDefault="00CD484C">
      <w:pPr>
        <w:ind w:firstLine="397"/>
        <w:jc w:val="both"/>
        <w:rPr>
          <w:sz w:val="20"/>
          <w:szCs w:val="16"/>
        </w:rPr>
      </w:pPr>
    </w:p>
    <w:p w14:paraId="41079464" w14:textId="53B88745" w:rsidR="00CD484C" w:rsidRDefault="00CD484C">
      <w:pPr>
        <w:ind w:firstLine="397"/>
        <w:jc w:val="both"/>
        <w:rPr>
          <w:sz w:val="20"/>
          <w:szCs w:val="16"/>
        </w:rPr>
      </w:pPr>
      <w:r>
        <w:rPr>
          <w:sz w:val="20"/>
          <w:szCs w:val="16"/>
        </w:rPr>
        <w:t>Однако перед этим, считаем необходимым, дать самую общую характеристику этого уникального историко-нумизматического памятника. Клад был обнаружен в кремле г. Мурома, где в настоящее время произво</w:t>
      </w:r>
      <w:r w:rsidR="00395416">
        <w:rPr>
          <w:noProof/>
          <w:sz w:val="20"/>
          <w:szCs w:val="16"/>
        </w:rPr>
        <mc:AlternateContent>
          <mc:Choice Requires="wps">
            <w:drawing>
              <wp:anchor distT="0" distB="0" distL="114300" distR="114300" simplePos="0" relativeHeight="251643392" behindDoc="0" locked="1" layoutInCell="1" allowOverlap="1" wp14:anchorId="7FDB8934" wp14:editId="63D09387">
                <wp:simplePos x="0" y="0"/>
                <wp:positionH relativeFrom="column">
                  <wp:posOffset>0</wp:posOffset>
                </wp:positionH>
                <wp:positionV relativeFrom="paragraph">
                  <wp:posOffset>-252730</wp:posOffset>
                </wp:positionV>
                <wp:extent cx="4095750" cy="186690"/>
                <wp:effectExtent l="0" t="0" r="2540" b="4445"/>
                <wp:wrapNone/>
                <wp:docPr id="106263110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334CB"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36CD1402"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B8934" id="Text Box 200" o:spid="_x0000_s1049" type="#_x0000_t202" style="position:absolute;left:0;text-align:left;margin-left:0;margin-top:-19.9pt;width:322.5pt;height:14.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5MCCA7wEAAMIDAAAOAAAAAAAAAAAAAAAAAC4CAABkcnMvZTJv&#10;RG9jLnhtbFBLAQItABQABgAIAAAAIQCnTgMH3gAAAAgBAAAPAAAAAAAAAAAAAAAAAEkEAABkcnMv&#10;ZG93bnJldi54bWxQSwUGAAAAAAQABADzAAAAVAUAAAAA&#10;" stroked="f">
                <v:textbox inset="0,0,0,0">
                  <w:txbxContent>
                    <w:p w14:paraId="17C334CB"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36CD1402" w14:textId="77777777" w:rsidR="00AE2133" w:rsidRDefault="00AE2133">
                      <w:pPr>
                        <w:rPr>
                          <w:b/>
                          <w:bCs/>
                          <w:sz w:val="2"/>
                          <w:u w:val="single"/>
                        </w:rPr>
                      </w:pPr>
                    </w:p>
                  </w:txbxContent>
                </v:textbox>
                <w10:anchorlock/>
              </v:shape>
            </w:pict>
          </mc:Fallback>
        </mc:AlternateContent>
      </w:r>
      <w:r>
        <w:rPr>
          <w:sz w:val="20"/>
          <w:szCs w:val="16"/>
        </w:rPr>
        <w:t xml:space="preserve">дятся археологические раскопки, как будто свидетельствующие об интенсивном </w:t>
      </w:r>
      <w:r>
        <w:rPr>
          <w:sz w:val="20"/>
          <w:szCs w:val="16"/>
        </w:rPr>
        <w:lastRenderedPageBreak/>
        <w:t>жилищном строительстве в середине – второй половине X в. (Археологическая карта России, 1995. – С. 173–176. № 360). Клад, состоящий из 11077 монет – находка исключительно редкая. Он был зарыт под глыбой известняка, который мог выступать в роли приметы, свидетельствующий об языческих пережитках поклонения камням и принесении им в жертву (Потин В.М., 1993. – С. 204). Для изучения данного памятника привлекаются два источника – Повесть временных лет, в которой Муром упоминается под 988 г. в качестве резиденции  Глеба – одного из сыновей киевского князя Владимира (Повесть..., 1999. – С. 54, 191); а также в Списке русских городов, как Moramar, вместе с Ростовым и Суздалем, входя в группу «старших» русских городов,  известный по «Книге Хаука» исландских географических сочинений. По мнению Т.Н. Джаксон данный Список  был известен в Скандинавии со второй половины X – начале XI в. (Джаксон Т.Н., 2001. – С. 69, 152)</w:t>
      </w:r>
      <w:r>
        <w:rPr>
          <w:rStyle w:val="a6"/>
          <w:sz w:val="20"/>
          <w:szCs w:val="16"/>
        </w:rPr>
        <w:footnoteReference w:customMarkFollows="1" w:id="33"/>
        <w:t>9</w:t>
      </w:r>
      <w:r>
        <w:rPr>
          <w:sz w:val="20"/>
          <w:szCs w:val="16"/>
        </w:rPr>
        <w:t>.</w:t>
      </w:r>
    </w:p>
    <w:p w14:paraId="5AD49838" w14:textId="77777777" w:rsidR="00CD484C" w:rsidRDefault="00CD484C">
      <w:pPr>
        <w:ind w:firstLine="397"/>
        <w:jc w:val="both"/>
        <w:rPr>
          <w:spacing w:val="-4"/>
          <w:sz w:val="20"/>
          <w:szCs w:val="16"/>
        </w:rPr>
      </w:pPr>
      <w:r>
        <w:rPr>
          <w:spacing w:val="-4"/>
          <w:sz w:val="20"/>
          <w:szCs w:val="16"/>
        </w:rPr>
        <w:t>Однако вернемся к кладу. Здесь заключительный тридцатилетний период представлен монетами, которые составляют более 80% состава денежного обращения (Янин В.Л., 1956. – С. 131–132). Хронолого-эмиссионное распределение осуществлено по 8246 монетам, исключая отсталые и подражания. Всего же по описи В.Г. Тизенгаузена может быть распределено около 9000 монет. Саманидский чекан клада составляет 90,99% (Янин В.Л., 1956, табл. 2). Обратившись к эмиссионной представительности монетных дворов, имеющихся в кладе, заметно, что выделенные в распределении монетные центры, за исключением Андераба и Мадинат ас-Салама, демонстрируют тенденцию к повышению. В то время как распределение монет Андераба и аббасидского Мадинат ас-Салама показывает, что чеканка первого была несравнима с чеканкой Багдада, хотя оба имели тенденцию к понижению. Поэтому, присутствие бувейхидских монет отражает традицию связей Западного Ирана и Ирака с Севером, представляя в тоже время раритетный нумизматический материал для понимания истории смены правящих династий на Среднем Востоке. /См. следующий очерк/. Вместе с тем, три последние хроногруппы клада (299/901 – 328/940) демонстрируют превышение самаркандского чекана над чеканом аш-Шаша, что выглядит достаточно неожиданно на фоне предшествующего изложения и нуждается в отдельном изучении на синхронных и более поздних памятниках. Отметим полуторное соотношение самаркандских монет над шашскими в младшей ХГ (319-328/931-940 гг.)</w:t>
      </w:r>
      <w:r>
        <w:rPr>
          <w:rStyle w:val="a6"/>
          <w:spacing w:val="-4"/>
          <w:sz w:val="20"/>
          <w:szCs w:val="16"/>
        </w:rPr>
        <w:footnoteReference w:customMarkFollows="1" w:id="34"/>
        <w:t>10</w:t>
      </w:r>
      <w:r>
        <w:rPr>
          <w:spacing w:val="-4"/>
          <w:sz w:val="20"/>
          <w:szCs w:val="16"/>
        </w:rPr>
        <w:t xml:space="preserve">. </w:t>
      </w:r>
    </w:p>
    <w:p w14:paraId="28E078A8" w14:textId="77777777" w:rsidR="00CD484C" w:rsidRDefault="00CD484C">
      <w:pPr>
        <w:ind w:firstLine="397"/>
        <w:jc w:val="both"/>
        <w:rPr>
          <w:sz w:val="20"/>
          <w:szCs w:val="16"/>
        </w:rPr>
      </w:pPr>
      <w:r>
        <w:rPr>
          <w:sz w:val="20"/>
          <w:szCs w:val="16"/>
        </w:rPr>
        <w:t xml:space="preserve">По данным распределения, осуществленного по тем же принципам хронологического анализа в период до 328/940 гг. эмиссия Самаркандского </w:t>
      </w:r>
      <w:r>
        <w:rPr>
          <w:sz w:val="20"/>
          <w:szCs w:val="16"/>
        </w:rPr>
        <w:lastRenderedPageBreak/>
        <w:t xml:space="preserve">монетного двора все время возрастала, в то время как эмиссия аш-Шаша не всегда была устойчивой, хотя в целом повышалась. При сопоставлении монет шашского и самаркандского монетных дворов в интересующие нас периоды 299-308/901-910 и 289-298/891-910 гг. не дало однозначного ответа на источник поступления монет, однако, когда мы выделили из хронологического ряда периоды, соответствующие распределению Богдановского клада, т.е. период 285/897 – 304/916 гг., то выяснилось, что при общем повышении числа монет каждого  эмиссионного центра за 20-летний период полностью соответствующий хронологии Богдановского клада, на Волжском пути, выше по течению, чем Волжская Булгария, но связывающмй вернеокский рынок с булгарским в период от 285/897 до 304/916 г. основу самандиской эмиссии представляли два эмиссионного центра аш-Шаш и Самарканд (табл. 2). </w:t>
      </w:r>
    </w:p>
    <w:p w14:paraId="4681967A" w14:textId="77777777" w:rsidR="00CD484C" w:rsidRDefault="00CD484C">
      <w:pPr>
        <w:ind w:firstLine="397"/>
        <w:jc w:val="both"/>
        <w:rPr>
          <w:b/>
          <w:bCs/>
          <w:i/>
          <w:iCs/>
          <w:szCs w:val="16"/>
        </w:rPr>
      </w:pPr>
    </w:p>
    <w:p w14:paraId="7476B12A" w14:textId="77777777" w:rsidR="00CD484C" w:rsidRDefault="00CD484C">
      <w:pPr>
        <w:ind w:firstLine="397"/>
        <w:jc w:val="right"/>
        <w:rPr>
          <w:i/>
          <w:iCs/>
          <w:sz w:val="20"/>
          <w:szCs w:val="16"/>
        </w:rPr>
      </w:pPr>
      <w:r>
        <w:rPr>
          <w:i/>
          <w:iCs/>
          <w:sz w:val="20"/>
          <w:szCs w:val="16"/>
        </w:rPr>
        <w:t xml:space="preserve">Таблица 2 </w:t>
      </w:r>
    </w:p>
    <w:p w14:paraId="08779937" w14:textId="77777777" w:rsidR="00CD484C" w:rsidRDefault="00CD484C">
      <w:pPr>
        <w:spacing w:after="120"/>
        <w:jc w:val="center"/>
        <w:rPr>
          <w:b/>
          <w:bCs/>
          <w:sz w:val="20"/>
          <w:szCs w:val="16"/>
        </w:rPr>
      </w:pPr>
      <w:r>
        <w:rPr>
          <w:b/>
          <w:bCs/>
          <w:sz w:val="20"/>
          <w:szCs w:val="16"/>
        </w:rPr>
        <w:t xml:space="preserve">Количественное распределение монет чеканки </w:t>
      </w:r>
      <w:r>
        <w:rPr>
          <w:b/>
          <w:bCs/>
          <w:sz w:val="20"/>
          <w:szCs w:val="16"/>
        </w:rPr>
        <w:br/>
        <w:t xml:space="preserve">аш-Шаш – Самарканда в период  897–916 гг. </w:t>
      </w:r>
      <w:r>
        <w:rPr>
          <w:b/>
          <w:bCs/>
          <w:sz w:val="20"/>
          <w:szCs w:val="16"/>
        </w:rPr>
        <w:br/>
        <w:t>(по данным Муромского клада 1868 г.)</w:t>
      </w:r>
    </w:p>
    <w:tbl>
      <w:tblPr>
        <w:tblW w:w="0" w:type="auto"/>
        <w:jc w:val="center"/>
        <w:tblBorders>
          <w:insideH w:val="single" w:sz="18" w:space="0" w:color="FFFFFF"/>
          <w:insideV w:val="single" w:sz="18" w:space="0" w:color="FFFFFF"/>
        </w:tblBorders>
        <w:tblLayout w:type="fixed"/>
        <w:tblLook w:val="00A0" w:firstRow="1" w:lastRow="0" w:firstColumn="1" w:lastColumn="0" w:noHBand="0" w:noVBand="0"/>
      </w:tblPr>
      <w:tblGrid>
        <w:gridCol w:w="1548"/>
        <w:gridCol w:w="1260"/>
        <w:gridCol w:w="1243"/>
      </w:tblGrid>
      <w:tr w:rsidR="00CD484C" w14:paraId="47A3FAED" w14:textId="77777777">
        <w:trPr>
          <w:trHeight w:val="260"/>
          <w:jc w:val="center"/>
        </w:trPr>
        <w:tc>
          <w:tcPr>
            <w:tcW w:w="1548" w:type="dxa"/>
            <w:tcBorders>
              <w:top w:val="dashSmallGap" w:sz="4" w:space="0" w:color="auto"/>
              <w:left w:val="dashSmallGap" w:sz="4" w:space="0" w:color="auto"/>
            </w:tcBorders>
            <w:shd w:val="pct20" w:color="000000" w:fill="FFFFFF"/>
          </w:tcPr>
          <w:p w14:paraId="6F3D7751" w14:textId="77777777" w:rsidR="00CD484C" w:rsidRDefault="00CD484C">
            <w:pPr>
              <w:ind w:firstLine="397"/>
              <w:jc w:val="both"/>
              <w:rPr>
                <w:b/>
                <w:sz w:val="18"/>
                <w:szCs w:val="16"/>
              </w:rPr>
            </w:pPr>
          </w:p>
        </w:tc>
        <w:tc>
          <w:tcPr>
            <w:tcW w:w="1260" w:type="dxa"/>
            <w:tcBorders>
              <w:top w:val="dashSmallGap" w:sz="4" w:space="0" w:color="auto"/>
            </w:tcBorders>
            <w:shd w:val="pct20" w:color="000000" w:fill="FFFFFF"/>
          </w:tcPr>
          <w:p w14:paraId="2417624D" w14:textId="77777777" w:rsidR="00CD484C" w:rsidRDefault="00CD484C">
            <w:pPr>
              <w:jc w:val="center"/>
              <w:rPr>
                <w:b/>
                <w:sz w:val="18"/>
                <w:szCs w:val="16"/>
              </w:rPr>
            </w:pPr>
            <w:r>
              <w:rPr>
                <w:b/>
                <w:sz w:val="18"/>
                <w:szCs w:val="16"/>
              </w:rPr>
              <w:t>285-294/906</w:t>
            </w:r>
          </w:p>
        </w:tc>
        <w:tc>
          <w:tcPr>
            <w:tcW w:w="1243" w:type="dxa"/>
            <w:tcBorders>
              <w:top w:val="dashSmallGap" w:sz="4" w:space="0" w:color="auto"/>
              <w:right w:val="dashSmallGap" w:sz="4" w:space="0" w:color="auto"/>
            </w:tcBorders>
            <w:shd w:val="pct20" w:color="000000" w:fill="FFFFFF"/>
          </w:tcPr>
          <w:p w14:paraId="3022F1D3" w14:textId="77777777" w:rsidR="00CD484C" w:rsidRDefault="00CD484C">
            <w:pPr>
              <w:jc w:val="center"/>
              <w:rPr>
                <w:b/>
                <w:sz w:val="18"/>
                <w:szCs w:val="16"/>
              </w:rPr>
            </w:pPr>
            <w:r>
              <w:rPr>
                <w:b/>
                <w:sz w:val="18"/>
                <w:szCs w:val="16"/>
              </w:rPr>
              <w:t>295-304/916</w:t>
            </w:r>
          </w:p>
        </w:tc>
      </w:tr>
      <w:tr w:rsidR="00CD484C" w14:paraId="339BDD9D" w14:textId="77777777">
        <w:trPr>
          <w:trHeight w:val="260"/>
          <w:jc w:val="center"/>
        </w:trPr>
        <w:tc>
          <w:tcPr>
            <w:tcW w:w="1548" w:type="dxa"/>
            <w:tcBorders>
              <w:top w:val="dashSmallGap" w:sz="4" w:space="0" w:color="auto"/>
              <w:left w:val="dashSmallGap" w:sz="4" w:space="0" w:color="auto"/>
            </w:tcBorders>
            <w:shd w:val="pct5" w:color="000000" w:fill="FFFFFF"/>
          </w:tcPr>
          <w:p w14:paraId="78DE36AD" w14:textId="77777777" w:rsidR="00CD484C" w:rsidRDefault="00CD484C">
            <w:pPr>
              <w:jc w:val="both"/>
              <w:rPr>
                <w:sz w:val="18"/>
                <w:szCs w:val="16"/>
              </w:rPr>
            </w:pPr>
            <w:r>
              <w:rPr>
                <w:sz w:val="18"/>
                <w:szCs w:val="16"/>
              </w:rPr>
              <w:t>аш-Шаш</w:t>
            </w:r>
          </w:p>
        </w:tc>
        <w:tc>
          <w:tcPr>
            <w:tcW w:w="1260" w:type="dxa"/>
            <w:shd w:val="pct5" w:color="000000" w:fill="FFFFFF"/>
          </w:tcPr>
          <w:p w14:paraId="7FE49037" w14:textId="77777777" w:rsidR="00CD484C" w:rsidRDefault="00CD484C">
            <w:pPr>
              <w:jc w:val="center"/>
              <w:rPr>
                <w:sz w:val="18"/>
                <w:szCs w:val="16"/>
              </w:rPr>
            </w:pPr>
            <w:r>
              <w:rPr>
                <w:sz w:val="18"/>
                <w:szCs w:val="16"/>
              </w:rPr>
              <w:t>131</w:t>
            </w:r>
          </w:p>
        </w:tc>
        <w:tc>
          <w:tcPr>
            <w:tcW w:w="1243" w:type="dxa"/>
            <w:tcBorders>
              <w:right w:val="dashSmallGap" w:sz="4" w:space="0" w:color="auto"/>
            </w:tcBorders>
            <w:shd w:val="pct5" w:color="000000" w:fill="FFFFFF"/>
          </w:tcPr>
          <w:p w14:paraId="7E7D9A78" w14:textId="77777777" w:rsidR="00CD484C" w:rsidRDefault="00CD484C">
            <w:pPr>
              <w:jc w:val="center"/>
              <w:rPr>
                <w:sz w:val="18"/>
                <w:szCs w:val="16"/>
              </w:rPr>
            </w:pPr>
            <w:r>
              <w:rPr>
                <w:sz w:val="18"/>
                <w:szCs w:val="16"/>
              </w:rPr>
              <w:t>143</w:t>
            </w:r>
          </w:p>
        </w:tc>
      </w:tr>
      <w:tr w:rsidR="00CD484C" w14:paraId="2A6ADE7D" w14:textId="77777777">
        <w:trPr>
          <w:trHeight w:val="260"/>
          <w:jc w:val="center"/>
        </w:trPr>
        <w:tc>
          <w:tcPr>
            <w:tcW w:w="1548" w:type="dxa"/>
            <w:tcBorders>
              <w:left w:val="dashSmallGap" w:sz="4" w:space="0" w:color="auto"/>
            </w:tcBorders>
            <w:shd w:val="pct20" w:color="000000" w:fill="FFFFFF"/>
          </w:tcPr>
          <w:p w14:paraId="7D9198C9" w14:textId="77777777" w:rsidR="00CD484C" w:rsidRDefault="00CD484C">
            <w:pPr>
              <w:jc w:val="both"/>
              <w:rPr>
                <w:sz w:val="18"/>
                <w:szCs w:val="16"/>
              </w:rPr>
            </w:pPr>
            <w:r>
              <w:rPr>
                <w:sz w:val="18"/>
                <w:szCs w:val="16"/>
              </w:rPr>
              <w:t>Самарканд</w:t>
            </w:r>
          </w:p>
        </w:tc>
        <w:tc>
          <w:tcPr>
            <w:tcW w:w="1260" w:type="dxa"/>
            <w:shd w:val="pct20" w:color="000000" w:fill="FFFFFF"/>
          </w:tcPr>
          <w:p w14:paraId="559F6588" w14:textId="77777777" w:rsidR="00CD484C" w:rsidRDefault="00CD484C">
            <w:pPr>
              <w:jc w:val="center"/>
              <w:rPr>
                <w:sz w:val="18"/>
                <w:szCs w:val="16"/>
              </w:rPr>
            </w:pPr>
            <w:r>
              <w:rPr>
                <w:sz w:val="18"/>
                <w:szCs w:val="16"/>
              </w:rPr>
              <w:t>62</w:t>
            </w:r>
          </w:p>
        </w:tc>
        <w:tc>
          <w:tcPr>
            <w:tcW w:w="1243" w:type="dxa"/>
            <w:tcBorders>
              <w:right w:val="dashSmallGap" w:sz="4" w:space="0" w:color="auto"/>
            </w:tcBorders>
            <w:shd w:val="pct20" w:color="000000" w:fill="FFFFFF"/>
          </w:tcPr>
          <w:p w14:paraId="5F06FED3" w14:textId="77777777" w:rsidR="00CD484C" w:rsidRDefault="00CD484C">
            <w:pPr>
              <w:jc w:val="center"/>
              <w:rPr>
                <w:sz w:val="18"/>
                <w:szCs w:val="16"/>
              </w:rPr>
            </w:pPr>
            <w:r>
              <w:rPr>
                <w:sz w:val="18"/>
                <w:szCs w:val="16"/>
              </w:rPr>
              <w:t>102</w:t>
            </w:r>
          </w:p>
        </w:tc>
      </w:tr>
      <w:tr w:rsidR="00CD484C" w14:paraId="2125C034" w14:textId="77777777">
        <w:trPr>
          <w:trHeight w:val="260"/>
          <w:jc w:val="center"/>
        </w:trPr>
        <w:tc>
          <w:tcPr>
            <w:tcW w:w="1548" w:type="dxa"/>
            <w:tcBorders>
              <w:left w:val="dashSmallGap" w:sz="4" w:space="0" w:color="auto"/>
              <w:bottom w:val="dashSmallGap" w:sz="4" w:space="0" w:color="auto"/>
            </w:tcBorders>
            <w:shd w:val="pct5" w:color="000000" w:fill="FFFFFF"/>
          </w:tcPr>
          <w:p w14:paraId="60E62239" w14:textId="77777777" w:rsidR="00CD484C" w:rsidRDefault="00CD484C">
            <w:pPr>
              <w:jc w:val="both"/>
              <w:rPr>
                <w:sz w:val="18"/>
                <w:szCs w:val="16"/>
              </w:rPr>
            </w:pPr>
            <w:r>
              <w:rPr>
                <w:sz w:val="18"/>
                <w:szCs w:val="16"/>
              </w:rPr>
              <w:t>Соотношение</w:t>
            </w:r>
          </w:p>
        </w:tc>
        <w:tc>
          <w:tcPr>
            <w:tcW w:w="1260" w:type="dxa"/>
            <w:tcBorders>
              <w:bottom w:val="dashSmallGap" w:sz="4" w:space="0" w:color="auto"/>
            </w:tcBorders>
            <w:shd w:val="pct5" w:color="000000" w:fill="FFFFFF"/>
          </w:tcPr>
          <w:p w14:paraId="77BBC31D" w14:textId="77777777" w:rsidR="00CD484C" w:rsidRDefault="00CD484C">
            <w:pPr>
              <w:jc w:val="center"/>
              <w:rPr>
                <w:sz w:val="18"/>
                <w:szCs w:val="16"/>
              </w:rPr>
            </w:pPr>
            <w:r>
              <w:rPr>
                <w:sz w:val="18"/>
                <w:szCs w:val="16"/>
              </w:rPr>
              <w:t>2,11</w:t>
            </w:r>
          </w:p>
        </w:tc>
        <w:tc>
          <w:tcPr>
            <w:tcW w:w="1243" w:type="dxa"/>
            <w:tcBorders>
              <w:bottom w:val="dashSmallGap" w:sz="4" w:space="0" w:color="auto"/>
              <w:right w:val="dashSmallGap" w:sz="4" w:space="0" w:color="auto"/>
            </w:tcBorders>
            <w:shd w:val="pct5" w:color="000000" w:fill="FFFFFF"/>
          </w:tcPr>
          <w:p w14:paraId="79392AA4" w14:textId="77777777" w:rsidR="00CD484C" w:rsidRDefault="00CD484C">
            <w:pPr>
              <w:jc w:val="center"/>
              <w:rPr>
                <w:sz w:val="18"/>
                <w:szCs w:val="16"/>
              </w:rPr>
            </w:pPr>
            <w:r>
              <w:rPr>
                <w:sz w:val="18"/>
                <w:szCs w:val="16"/>
              </w:rPr>
              <w:t>1,4</w:t>
            </w:r>
          </w:p>
        </w:tc>
      </w:tr>
    </w:tbl>
    <w:p w14:paraId="404B50A6" w14:textId="77777777" w:rsidR="00CD484C" w:rsidRDefault="00CD484C">
      <w:pPr>
        <w:ind w:firstLine="397"/>
        <w:jc w:val="both"/>
        <w:rPr>
          <w:szCs w:val="16"/>
        </w:rPr>
      </w:pPr>
    </w:p>
    <w:p w14:paraId="2461CE44" w14:textId="77777777" w:rsidR="00CD484C" w:rsidRDefault="00CD484C">
      <w:pPr>
        <w:ind w:firstLine="397"/>
        <w:jc w:val="both"/>
        <w:rPr>
          <w:sz w:val="20"/>
          <w:szCs w:val="16"/>
        </w:rPr>
      </w:pPr>
      <w:r>
        <w:rPr>
          <w:sz w:val="20"/>
          <w:szCs w:val="16"/>
        </w:rPr>
        <w:t>Приведенные данные показывают превалирование монет шашской чеканки – в последней ХГ соотношение аш-Шаш/Самарканд составляет 1,4, тогда как в предшествующей – 2,11.</w:t>
      </w:r>
    </w:p>
    <w:p w14:paraId="5732D800" w14:textId="77777777" w:rsidR="00CD484C" w:rsidRDefault="00CD484C">
      <w:pPr>
        <w:ind w:firstLine="397"/>
        <w:jc w:val="both"/>
        <w:rPr>
          <w:sz w:val="20"/>
          <w:szCs w:val="16"/>
        </w:rPr>
      </w:pPr>
      <w:r>
        <w:rPr>
          <w:sz w:val="20"/>
          <w:szCs w:val="16"/>
        </w:rPr>
        <w:t>Для сравнения проведем подобное сопоставление и в кладе Богдановский (табл. 3).</w:t>
      </w:r>
    </w:p>
    <w:p w14:paraId="549554E9" w14:textId="77777777" w:rsidR="00CD484C" w:rsidRDefault="00CD484C">
      <w:pPr>
        <w:ind w:firstLine="397"/>
        <w:jc w:val="both"/>
        <w:rPr>
          <w:szCs w:val="16"/>
        </w:rPr>
      </w:pPr>
      <w:r>
        <w:rPr>
          <w:sz w:val="12"/>
          <w:szCs w:val="16"/>
        </w:rPr>
        <w:t xml:space="preserve"> </w:t>
      </w:r>
    </w:p>
    <w:p w14:paraId="7FE75179" w14:textId="77777777" w:rsidR="00CD484C" w:rsidRDefault="00CD484C">
      <w:pPr>
        <w:ind w:firstLine="397"/>
        <w:jc w:val="right"/>
        <w:rPr>
          <w:b/>
          <w:bCs/>
          <w:i/>
          <w:iCs/>
          <w:sz w:val="20"/>
          <w:szCs w:val="16"/>
        </w:rPr>
      </w:pPr>
      <w:r>
        <w:rPr>
          <w:i/>
          <w:iCs/>
          <w:sz w:val="20"/>
          <w:szCs w:val="16"/>
        </w:rPr>
        <w:t>Таблица 3</w:t>
      </w:r>
      <w:r>
        <w:rPr>
          <w:b/>
          <w:bCs/>
          <w:i/>
          <w:iCs/>
          <w:sz w:val="20"/>
          <w:szCs w:val="16"/>
        </w:rPr>
        <w:t xml:space="preserve"> </w:t>
      </w:r>
    </w:p>
    <w:p w14:paraId="682D7F33" w14:textId="77777777" w:rsidR="00CD484C" w:rsidRDefault="00CD484C">
      <w:pPr>
        <w:spacing w:after="120"/>
        <w:jc w:val="center"/>
        <w:rPr>
          <w:b/>
          <w:bCs/>
          <w:sz w:val="20"/>
          <w:szCs w:val="16"/>
        </w:rPr>
      </w:pPr>
      <w:r>
        <w:rPr>
          <w:b/>
          <w:bCs/>
          <w:sz w:val="20"/>
          <w:szCs w:val="16"/>
        </w:rPr>
        <w:t xml:space="preserve">Количественное распределение монет чеканки </w:t>
      </w:r>
      <w:r>
        <w:rPr>
          <w:b/>
          <w:bCs/>
          <w:sz w:val="20"/>
          <w:szCs w:val="16"/>
        </w:rPr>
        <w:br/>
        <w:t>аш-Шаш – Самарканд Богдановского клада</w:t>
      </w:r>
    </w:p>
    <w:tbl>
      <w:tblPr>
        <w:tblW w:w="0" w:type="auto"/>
        <w:jc w:val="center"/>
        <w:tblBorders>
          <w:top w:val="dashSmallGap" w:sz="8" w:space="0" w:color="auto"/>
          <w:left w:val="dashSmallGap" w:sz="8" w:space="0" w:color="auto"/>
          <w:bottom w:val="dashSmallGap" w:sz="8" w:space="0" w:color="auto"/>
          <w:right w:val="dashSmallGap" w:sz="8" w:space="0" w:color="auto"/>
        </w:tblBorders>
        <w:tblLayout w:type="fixed"/>
        <w:tblCellMar>
          <w:left w:w="30" w:type="dxa"/>
          <w:right w:w="30" w:type="dxa"/>
        </w:tblCellMar>
        <w:tblLook w:val="00A0" w:firstRow="1" w:lastRow="0" w:firstColumn="1" w:lastColumn="0" w:noHBand="0" w:noVBand="0"/>
      </w:tblPr>
      <w:tblGrid>
        <w:gridCol w:w="1320"/>
        <w:gridCol w:w="1215"/>
        <w:gridCol w:w="1215"/>
      </w:tblGrid>
      <w:tr w:rsidR="00CD484C" w14:paraId="56851CFB" w14:textId="77777777">
        <w:trPr>
          <w:trHeight w:val="260"/>
          <w:jc w:val="center"/>
        </w:trPr>
        <w:tc>
          <w:tcPr>
            <w:tcW w:w="1320" w:type="dxa"/>
            <w:shd w:val="pct20" w:color="000000" w:fill="FFFFFF"/>
          </w:tcPr>
          <w:p w14:paraId="3475A543" w14:textId="77777777" w:rsidR="00CD484C" w:rsidRDefault="00CD484C">
            <w:pPr>
              <w:jc w:val="both"/>
              <w:rPr>
                <w:b/>
                <w:sz w:val="18"/>
                <w:szCs w:val="16"/>
              </w:rPr>
            </w:pPr>
          </w:p>
        </w:tc>
        <w:tc>
          <w:tcPr>
            <w:tcW w:w="1215" w:type="dxa"/>
            <w:shd w:val="pct20" w:color="000000" w:fill="FFFFFF"/>
          </w:tcPr>
          <w:p w14:paraId="2051DE19" w14:textId="77777777" w:rsidR="00CD484C" w:rsidRDefault="00CD484C">
            <w:pPr>
              <w:jc w:val="center"/>
              <w:rPr>
                <w:b/>
                <w:sz w:val="18"/>
                <w:szCs w:val="16"/>
              </w:rPr>
            </w:pPr>
            <w:r>
              <w:rPr>
                <w:b/>
                <w:sz w:val="18"/>
                <w:szCs w:val="16"/>
              </w:rPr>
              <w:t>285-294/906</w:t>
            </w:r>
          </w:p>
        </w:tc>
        <w:tc>
          <w:tcPr>
            <w:tcW w:w="1215" w:type="dxa"/>
            <w:shd w:val="pct20" w:color="000000" w:fill="FFFFFF"/>
          </w:tcPr>
          <w:p w14:paraId="7FC227FD" w14:textId="77777777" w:rsidR="00CD484C" w:rsidRDefault="00CD484C">
            <w:pPr>
              <w:jc w:val="center"/>
              <w:rPr>
                <w:b/>
                <w:sz w:val="18"/>
                <w:szCs w:val="16"/>
              </w:rPr>
            </w:pPr>
            <w:r>
              <w:rPr>
                <w:b/>
                <w:sz w:val="18"/>
                <w:szCs w:val="16"/>
              </w:rPr>
              <w:t>295-304/916</w:t>
            </w:r>
          </w:p>
        </w:tc>
      </w:tr>
      <w:tr w:rsidR="00CD484C" w14:paraId="70918C1E" w14:textId="77777777">
        <w:trPr>
          <w:trHeight w:val="260"/>
          <w:jc w:val="center"/>
        </w:trPr>
        <w:tc>
          <w:tcPr>
            <w:tcW w:w="1320" w:type="dxa"/>
            <w:shd w:val="pct5" w:color="000000" w:fill="FFFFFF"/>
          </w:tcPr>
          <w:p w14:paraId="4BB59DA1" w14:textId="77777777" w:rsidR="00CD484C" w:rsidRDefault="00CD484C">
            <w:pPr>
              <w:jc w:val="both"/>
              <w:rPr>
                <w:sz w:val="18"/>
                <w:szCs w:val="16"/>
              </w:rPr>
            </w:pPr>
            <w:r>
              <w:rPr>
                <w:sz w:val="18"/>
                <w:szCs w:val="16"/>
              </w:rPr>
              <w:t>аш-Шаш</w:t>
            </w:r>
          </w:p>
        </w:tc>
        <w:tc>
          <w:tcPr>
            <w:tcW w:w="1215" w:type="dxa"/>
            <w:shd w:val="pct5" w:color="000000" w:fill="FFFFFF"/>
          </w:tcPr>
          <w:p w14:paraId="116CF82B" w14:textId="77777777" w:rsidR="00CD484C" w:rsidRDefault="00CD484C">
            <w:pPr>
              <w:jc w:val="center"/>
              <w:rPr>
                <w:sz w:val="18"/>
                <w:szCs w:val="16"/>
              </w:rPr>
            </w:pPr>
            <w:r>
              <w:rPr>
                <w:sz w:val="18"/>
                <w:szCs w:val="16"/>
              </w:rPr>
              <w:t>40</w:t>
            </w:r>
          </w:p>
        </w:tc>
        <w:tc>
          <w:tcPr>
            <w:tcW w:w="1215" w:type="dxa"/>
            <w:shd w:val="pct5" w:color="000000" w:fill="FFFFFF"/>
          </w:tcPr>
          <w:p w14:paraId="1C793276" w14:textId="77777777" w:rsidR="00CD484C" w:rsidRDefault="00CD484C">
            <w:pPr>
              <w:jc w:val="center"/>
              <w:rPr>
                <w:sz w:val="18"/>
                <w:szCs w:val="16"/>
              </w:rPr>
            </w:pPr>
            <w:r>
              <w:rPr>
                <w:sz w:val="18"/>
                <w:szCs w:val="16"/>
              </w:rPr>
              <w:t>134</w:t>
            </w:r>
          </w:p>
        </w:tc>
      </w:tr>
      <w:tr w:rsidR="00CD484C" w14:paraId="68032E53" w14:textId="77777777">
        <w:trPr>
          <w:trHeight w:val="260"/>
          <w:jc w:val="center"/>
        </w:trPr>
        <w:tc>
          <w:tcPr>
            <w:tcW w:w="1320" w:type="dxa"/>
            <w:shd w:val="pct20" w:color="000000" w:fill="FFFFFF"/>
          </w:tcPr>
          <w:p w14:paraId="1AB93E08" w14:textId="77777777" w:rsidR="00CD484C" w:rsidRDefault="00CD484C">
            <w:pPr>
              <w:jc w:val="both"/>
              <w:rPr>
                <w:sz w:val="18"/>
                <w:szCs w:val="16"/>
              </w:rPr>
            </w:pPr>
            <w:r>
              <w:rPr>
                <w:sz w:val="18"/>
                <w:szCs w:val="16"/>
              </w:rPr>
              <w:t>Самарканд</w:t>
            </w:r>
          </w:p>
        </w:tc>
        <w:tc>
          <w:tcPr>
            <w:tcW w:w="1215" w:type="dxa"/>
            <w:shd w:val="pct20" w:color="000000" w:fill="FFFFFF"/>
          </w:tcPr>
          <w:p w14:paraId="4F8D785F" w14:textId="77777777" w:rsidR="00CD484C" w:rsidRDefault="00CD484C">
            <w:pPr>
              <w:jc w:val="center"/>
              <w:rPr>
                <w:sz w:val="18"/>
                <w:szCs w:val="16"/>
              </w:rPr>
            </w:pPr>
            <w:r>
              <w:rPr>
                <w:sz w:val="18"/>
                <w:szCs w:val="16"/>
              </w:rPr>
              <w:t>18</w:t>
            </w:r>
          </w:p>
        </w:tc>
        <w:tc>
          <w:tcPr>
            <w:tcW w:w="1215" w:type="dxa"/>
            <w:shd w:val="pct20" w:color="000000" w:fill="FFFFFF"/>
          </w:tcPr>
          <w:p w14:paraId="014FA896" w14:textId="77777777" w:rsidR="00CD484C" w:rsidRDefault="00CD484C">
            <w:pPr>
              <w:jc w:val="center"/>
              <w:rPr>
                <w:sz w:val="18"/>
                <w:szCs w:val="16"/>
              </w:rPr>
            </w:pPr>
            <w:r>
              <w:rPr>
                <w:sz w:val="18"/>
                <w:szCs w:val="16"/>
              </w:rPr>
              <w:t>90</w:t>
            </w:r>
          </w:p>
        </w:tc>
      </w:tr>
      <w:tr w:rsidR="00CD484C" w14:paraId="14A99FCE" w14:textId="77777777">
        <w:trPr>
          <w:trHeight w:val="260"/>
          <w:jc w:val="center"/>
        </w:trPr>
        <w:tc>
          <w:tcPr>
            <w:tcW w:w="1320" w:type="dxa"/>
            <w:shd w:val="pct5" w:color="000000" w:fill="FFFFFF"/>
          </w:tcPr>
          <w:p w14:paraId="5D1509F5" w14:textId="77777777" w:rsidR="00CD484C" w:rsidRDefault="00CD484C">
            <w:pPr>
              <w:jc w:val="both"/>
              <w:rPr>
                <w:sz w:val="18"/>
                <w:szCs w:val="16"/>
              </w:rPr>
            </w:pPr>
            <w:r>
              <w:rPr>
                <w:sz w:val="18"/>
                <w:szCs w:val="16"/>
              </w:rPr>
              <w:t>Соотношение</w:t>
            </w:r>
          </w:p>
        </w:tc>
        <w:tc>
          <w:tcPr>
            <w:tcW w:w="1215" w:type="dxa"/>
            <w:shd w:val="pct5" w:color="000000" w:fill="FFFFFF"/>
          </w:tcPr>
          <w:p w14:paraId="0B2BDF36" w14:textId="77777777" w:rsidR="00CD484C" w:rsidRDefault="00CD484C">
            <w:pPr>
              <w:jc w:val="center"/>
              <w:rPr>
                <w:sz w:val="18"/>
                <w:szCs w:val="16"/>
              </w:rPr>
            </w:pPr>
            <w:r>
              <w:rPr>
                <w:sz w:val="18"/>
                <w:szCs w:val="16"/>
              </w:rPr>
              <w:t>2,222</w:t>
            </w:r>
          </w:p>
        </w:tc>
        <w:tc>
          <w:tcPr>
            <w:tcW w:w="1215" w:type="dxa"/>
            <w:shd w:val="pct5" w:color="000000" w:fill="FFFFFF"/>
          </w:tcPr>
          <w:p w14:paraId="2D1EE0FA" w14:textId="77777777" w:rsidR="00CD484C" w:rsidRDefault="00CD484C">
            <w:pPr>
              <w:jc w:val="center"/>
              <w:rPr>
                <w:sz w:val="18"/>
                <w:szCs w:val="16"/>
              </w:rPr>
            </w:pPr>
            <w:r>
              <w:rPr>
                <w:sz w:val="18"/>
                <w:szCs w:val="16"/>
              </w:rPr>
              <w:t>1,488</w:t>
            </w:r>
          </w:p>
        </w:tc>
      </w:tr>
    </w:tbl>
    <w:p w14:paraId="4A64522A" w14:textId="77777777" w:rsidR="00CD484C" w:rsidRDefault="00CD484C">
      <w:pPr>
        <w:ind w:firstLine="397"/>
        <w:jc w:val="both"/>
        <w:rPr>
          <w:sz w:val="20"/>
          <w:szCs w:val="16"/>
        </w:rPr>
      </w:pPr>
    </w:p>
    <w:p w14:paraId="05B0F52B" w14:textId="3436EF85" w:rsidR="00CD484C" w:rsidRDefault="00395416">
      <w:pPr>
        <w:ind w:firstLine="397"/>
        <w:jc w:val="both"/>
        <w:rPr>
          <w:spacing w:val="-2"/>
          <w:sz w:val="20"/>
          <w:szCs w:val="16"/>
        </w:rPr>
      </w:pPr>
      <w:r>
        <w:rPr>
          <w:noProof/>
          <w:spacing w:val="-2"/>
          <w:sz w:val="20"/>
          <w:szCs w:val="16"/>
        </w:rPr>
        <mc:AlternateContent>
          <mc:Choice Requires="wps">
            <w:drawing>
              <wp:anchor distT="0" distB="0" distL="114300" distR="114300" simplePos="0" relativeHeight="251644416" behindDoc="0" locked="1" layoutInCell="1" allowOverlap="1" wp14:anchorId="242B860E" wp14:editId="701D6EF7">
                <wp:simplePos x="0" y="0"/>
                <wp:positionH relativeFrom="column">
                  <wp:posOffset>0</wp:posOffset>
                </wp:positionH>
                <wp:positionV relativeFrom="paragraph">
                  <wp:posOffset>-252730</wp:posOffset>
                </wp:positionV>
                <wp:extent cx="4095750" cy="186690"/>
                <wp:effectExtent l="0" t="0" r="2540" b="0"/>
                <wp:wrapNone/>
                <wp:docPr id="652319814"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E37CE"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3BBF83A6"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B860E" id="Text Box 201" o:spid="_x0000_s1050" type="#_x0000_t202" style="position:absolute;left:0;text-align:left;margin-left:0;margin-top:-19.9pt;width:322.5pt;height:14.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h6wXz7wEAAMIDAAAOAAAAAAAAAAAAAAAAAC4CAABkcnMvZTJv&#10;RG9jLnhtbFBLAQItABQABgAIAAAAIQCnTgMH3gAAAAgBAAAPAAAAAAAAAAAAAAAAAEkEAABkcnMv&#10;ZG93bnJldi54bWxQSwUGAAAAAAQABADzAAAAVAUAAAAA&#10;" stroked="f">
                <v:textbox inset="0,0,0,0">
                  <w:txbxContent>
                    <w:p w14:paraId="084E37CE"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3BBF83A6" w14:textId="77777777" w:rsidR="00AE2133" w:rsidRDefault="00AE2133">
                      <w:pPr>
                        <w:rPr>
                          <w:b/>
                          <w:bCs/>
                          <w:sz w:val="2"/>
                          <w:u w:val="single"/>
                        </w:rPr>
                      </w:pPr>
                    </w:p>
                  </w:txbxContent>
                </v:textbox>
                <w10:anchorlock/>
              </v:shape>
            </w:pict>
          </mc:Fallback>
        </mc:AlternateContent>
      </w:r>
      <w:r w:rsidR="00CD484C">
        <w:rPr>
          <w:spacing w:val="-2"/>
          <w:sz w:val="20"/>
          <w:szCs w:val="16"/>
        </w:rPr>
        <w:t xml:space="preserve">Достаточно беглого взгляда на данные таблиц 2 и 3, чтобы  обнаружить идентичные соотношения монет чеканов аш-Шаша и Самарканда в периоды  </w:t>
      </w:r>
      <w:r w:rsidR="00CD484C">
        <w:rPr>
          <w:spacing w:val="-2"/>
          <w:sz w:val="20"/>
          <w:szCs w:val="16"/>
        </w:rPr>
        <w:lastRenderedPageBreak/>
        <w:t xml:space="preserve">285–294 и 295–304 г.х., позволяющие сделать утверждение о выпадении кладов из одного монетного потока. Этот поток разделился, исходя из положения кладов по отношению к Волжской Булгарии, именно на средней Волге. Имеющийся в нашем распоряжении Казанский клад 1840 г., точнее, его состояние как источник, не дает возможности провести подобные сопоставления, а только за 20-летний период существования основного состава клада. В этом памятнике соотношение монет за 20-летний период составило как 198 к 72 (2,75), что резко отличается от подобного соотношения Муромского клада 1,67 (274 к 164). В Богдановском кладе, как видно из таблицы 3, подобное соотношение составляет 1,61 (174 к 108), оно тождественно, как и более дробное распределение, Муромскому кладу. </w:t>
      </w:r>
    </w:p>
    <w:p w14:paraId="70BA3947" w14:textId="77777777" w:rsidR="00CD484C" w:rsidRDefault="00CD484C">
      <w:pPr>
        <w:ind w:firstLine="397"/>
        <w:jc w:val="both"/>
        <w:rPr>
          <w:spacing w:val="-4"/>
          <w:sz w:val="20"/>
          <w:szCs w:val="16"/>
        </w:rPr>
      </w:pPr>
      <w:r>
        <w:rPr>
          <w:spacing w:val="-4"/>
          <w:sz w:val="20"/>
          <w:szCs w:val="16"/>
        </w:rPr>
        <w:t xml:space="preserve">Столь резкие различия в соотношении эмиссионной связки аш-Шаш – Самарканд в кладах, удаленных от важнейшего рынка  Восточной Европы и клада, выпавшего на территории самого рынка /Рис. 5а/, позволяет выдвинуть гипотезу об образовании депозита 1840 г. отличного от потока, вызвавшего появление накоплений в Муромском и Богдановском кладах, поскольку топографическая ориентация последних в комментариях не нуждается. </w:t>
      </w:r>
    </w:p>
    <w:p w14:paraId="33343DA6" w14:textId="77777777" w:rsidR="00CD484C" w:rsidRDefault="00CD484C">
      <w:pPr>
        <w:ind w:firstLine="397"/>
        <w:jc w:val="both"/>
        <w:rPr>
          <w:sz w:val="20"/>
          <w:szCs w:val="16"/>
        </w:rPr>
      </w:pPr>
    </w:p>
    <w:p w14:paraId="762DCFA9" w14:textId="01C7EB59" w:rsidR="00CD484C" w:rsidRDefault="00395416">
      <w:pPr>
        <w:jc w:val="center"/>
        <w:rPr>
          <w:sz w:val="20"/>
          <w:szCs w:val="16"/>
        </w:rPr>
      </w:pPr>
      <w:r>
        <w:rPr>
          <w:noProof/>
          <w:sz w:val="20"/>
          <w:szCs w:val="16"/>
        </w:rPr>
        <w:drawing>
          <wp:inline distT="0" distB="0" distL="0" distR="0" wp14:anchorId="1B39CA58" wp14:editId="4D604871">
            <wp:extent cx="3886200" cy="2275205"/>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8475BD" w14:textId="77777777" w:rsidR="00CD484C" w:rsidRDefault="00CD484C">
      <w:pPr>
        <w:jc w:val="center"/>
        <w:rPr>
          <w:b/>
          <w:bCs/>
          <w:i/>
          <w:iCs/>
          <w:sz w:val="18"/>
          <w:szCs w:val="16"/>
        </w:rPr>
      </w:pPr>
    </w:p>
    <w:p w14:paraId="32A5AA81" w14:textId="77777777" w:rsidR="00CD484C" w:rsidRDefault="00CD484C">
      <w:pPr>
        <w:jc w:val="center"/>
        <w:rPr>
          <w:i/>
          <w:iCs/>
          <w:sz w:val="18"/>
          <w:szCs w:val="16"/>
        </w:rPr>
      </w:pPr>
      <w:r>
        <w:rPr>
          <w:b/>
          <w:bCs/>
          <w:i/>
          <w:iCs/>
          <w:sz w:val="18"/>
          <w:szCs w:val="16"/>
        </w:rPr>
        <w:t xml:space="preserve">Рис. 5а. </w:t>
      </w:r>
      <w:r>
        <w:rPr>
          <w:i/>
          <w:iCs/>
          <w:sz w:val="18"/>
          <w:szCs w:val="16"/>
        </w:rPr>
        <w:t xml:space="preserve">Графическая трактовка соотношений аш-Шаш – Самарканд </w:t>
      </w:r>
      <w:r>
        <w:rPr>
          <w:i/>
          <w:iCs/>
          <w:sz w:val="18"/>
          <w:szCs w:val="16"/>
        </w:rPr>
        <w:br/>
        <w:t>в кладах начала Х в.</w:t>
      </w:r>
    </w:p>
    <w:p w14:paraId="188ADE59" w14:textId="77777777" w:rsidR="00CD484C" w:rsidRDefault="00CD484C">
      <w:pPr>
        <w:jc w:val="center"/>
        <w:rPr>
          <w:i/>
          <w:iCs/>
          <w:sz w:val="18"/>
          <w:szCs w:val="16"/>
        </w:rPr>
      </w:pPr>
    </w:p>
    <w:p w14:paraId="2280BAC0" w14:textId="77777777" w:rsidR="00CD484C" w:rsidRDefault="00CD484C">
      <w:pPr>
        <w:ind w:firstLine="397"/>
        <w:jc w:val="both"/>
        <w:rPr>
          <w:sz w:val="20"/>
          <w:szCs w:val="16"/>
        </w:rPr>
      </w:pPr>
      <w:r>
        <w:rPr>
          <w:sz w:val="20"/>
          <w:szCs w:val="16"/>
        </w:rPr>
        <w:t xml:space="preserve">Крупнейший в Восточной Европы депозит, найденный в кремле г. Мурома в 1868 г., представляет собой великолепный памятник  русского денежного обращения, характеризуя в тоже время эмиссионную мощность монетных дворов, отражая какие-то процессы денежной эмиссии на Востоке. Муромский клад общим весом 42 кг обезличен, – писал о нем Н.П. </w:t>
      </w:r>
      <w:r>
        <w:rPr>
          <w:sz w:val="20"/>
          <w:szCs w:val="16"/>
        </w:rPr>
        <w:lastRenderedPageBreak/>
        <w:t>Бауэр, – случай скопления серебряной массы в 100 фунтов – перекрывающего всего обращавшегося в Древней Руси металла по известным письменным источникам ([Бауэр Н.П.], Романов Б.А., 1948. – С. 371)</w:t>
      </w:r>
      <w:r>
        <w:rPr>
          <w:rStyle w:val="a6"/>
          <w:sz w:val="20"/>
          <w:szCs w:val="16"/>
        </w:rPr>
        <w:footnoteReference w:customMarkFollows="1" w:id="35"/>
        <w:t>11</w:t>
      </w:r>
      <w:r>
        <w:rPr>
          <w:sz w:val="20"/>
          <w:szCs w:val="16"/>
        </w:rPr>
        <w:t>, демонстрирует, вероятно, инфляционные ожидания.</w:t>
      </w:r>
    </w:p>
    <w:p w14:paraId="3F8916FD" w14:textId="77777777" w:rsidR="00CD484C" w:rsidRDefault="00CD484C">
      <w:pPr>
        <w:ind w:firstLine="397"/>
        <w:jc w:val="both"/>
        <w:rPr>
          <w:sz w:val="20"/>
          <w:szCs w:val="16"/>
        </w:rPr>
      </w:pPr>
      <w:r>
        <w:rPr>
          <w:sz w:val="20"/>
          <w:szCs w:val="16"/>
        </w:rPr>
        <w:t>С целью верификации предположений в данном очерке обратимся к синхронному кладу, происходящему с территории страны-эмитента. Наиболее близкий по дате является клад, происходящий с археологического памятника городища Алтынтепа Касанского района Кашкадарьинской области Республики Узбекистан, собранный Б.Д. Кочневым в 1975 г. (Атаходжаев А., 1993. – С. 12–13; Кочнев Б.Д., 1996. №: 6). /Рис. 6/.</w:t>
      </w:r>
    </w:p>
    <w:p w14:paraId="0943CD71" w14:textId="77777777" w:rsidR="00CD484C" w:rsidRDefault="00CD484C">
      <w:pPr>
        <w:ind w:firstLine="397"/>
        <w:jc w:val="both"/>
        <w:rPr>
          <w:sz w:val="20"/>
          <w:szCs w:val="16"/>
        </w:rPr>
      </w:pPr>
    </w:p>
    <w:p w14:paraId="092D2040" w14:textId="6D6DBFF1" w:rsidR="00CD484C" w:rsidRDefault="00395416">
      <w:pPr>
        <w:ind w:firstLine="397"/>
        <w:jc w:val="both"/>
        <w:rPr>
          <w:sz w:val="20"/>
          <w:szCs w:val="16"/>
        </w:rPr>
      </w:pPr>
      <w:r>
        <w:rPr>
          <w:noProof/>
          <w:sz w:val="20"/>
          <w:szCs w:val="16"/>
        </w:rPr>
        <w:drawing>
          <wp:inline distT="0" distB="0" distL="0" distR="0" wp14:anchorId="1314455F" wp14:editId="55A671EF">
            <wp:extent cx="3636010" cy="1888490"/>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33AF392" w14:textId="77777777" w:rsidR="00CD484C" w:rsidRDefault="00CD484C">
      <w:pPr>
        <w:ind w:firstLine="397"/>
        <w:jc w:val="center"/>
        <w:rPr>
          <w:i/>
          <w:iCs/>
          <w:sz w:val="20"/>
          <w:szCs w:val="16"/>
        </w:rPr>
      </w:pPr>
    </w:p>
    <w:p w14:paraId="279EE3FC" w14:textId="77777777" w:rsidR="00CD484C" w:rsidRDefault="00CD484C">
      <w:pPr>
        <w:jc w:val="center"/>
        <w:rPr>
          <w:i/>
          <w:iCs/>
          <w:sz w:val="18"/>
          <w:szCs w:val="16"/>
        </w:rPr>
      </w:pPr>
      <w:r>
        <w:rPr>
          <w:b/>
          <w:bCs/>
          <w:i/>
          <w:iCs/>
          <w:sz w:val="18"/>
          <w:szCs w:val="16"/>
        </w:rPr>
        <w:t xml:space="preserve">Рис. 6. </w:t>
      </w:r>
      <w:r>
        <w:rPr>
          <w:i/>
          <w:iCs/>
          <w:sz w:val="18"/>
          <w:szCs w:val="16"/>
        </w:rPr>
        <w:t xml:space="preserve">Клад Алтынтепа 1975 г. Хронолого-эмиссионное </w:t>
      </w:r>
    </w:p>
    <w:p w14:paraId="159CFA04" w14:textId="77777777" w:rsidR="00CD484C" w:rsidRDefault="00CD484C">
      <w:pPr>
        <w:spacing w:after="120"/>
        <w:jc w:val="center"/>
        <w:rPr>
          <w:i/>
          <w:iCs/>
          <w:sz w:val="18"/>
          <w:szCs w:val="16"/>
        </w:rPr>
      </w:pPr>
      <w:r>
        <w:rPr>
          <w:i/>
          <w:iCs/>
          <w:sz w:val="18"/>
          <w:szCs w:val="16"/>
        </w:rPr>
        <w:t xml:space="preserve"> распределение</w:t>
      </w:r>
    </w:p>
    <w:p w14:paraId="42301929" w14:textId="77777777" w:rsidR="00CD484C" w:rsidRDefault="00CD484C">
      <w:pPr>
        <w:ind w:firstLine="397"/>
        <w:jc w:val="both"/>
        <w:rPr>
          <w:sz w:val="20"/>
          <w:szCs w:val="16"/>
        </w:rPr>
      </w:pPr>
      <w:r>
        <w:rPr>
          <w:sz w:val="20"/>
          <w:szCs w:val="16"/>
        </w:rPr>
        <w:t>Необходимо отметить, не вдаваясь в детали топографии, что клад, его локализация отнюдь не связаны с магистральным путем движения куфического дирхема из Средней Азии в Европу, каковым представляется, (что исходит из работ Е.А. Давидович) путь аш-Шаш – Самарканд – Бухара – Амоль – Хорезм. Как показали исследования С.Б. Луниной, Кашкадарьинский оазис находился южнее основной транзитной магистрали Средней Азии: Мерв – Амуль – Бухара – Самарканд. Долина Кашкадарьи являлась сквозным путем для товаров из Балха в Бухару и из Балха в Самарканд (Лунина С.Б., 1991. – С. 102–103, 105–106).</w:t>
      </w:r>
    </w:p>
    <w:p w14:paraId="4A420C17" w14:textId="0D9B4E81" w:rsidR="00CD484C" w:rsidRDefault="00395416">
      <w:pPr>
        <w:ind w:firstLine="397"/>
        <w:jc w:val="both"/>
        <w:rPr>
          <w:spacing w:val="-2"/>
          <w:sz w:val="20"/>
          <w:szCs w:val="16"/>
        </w:rPr>
      </w:pPr>
      <w:r>
        <w:rPr>
          <w:noProof/>
          <w:spacing w:val="-2"/>
          <w:sz w:val="20"/>
          <w:szCs w:val="16"/>
        </w:rPr>
        <mc:AlternateContent>
          <mc:Choice Requires="wps">
            <w:drawing>
              <wp:anchor distT="0" distB="0" distL="114300" distR="114300" simplePos="0" relativeHeight="251645440" behindDoc="0" locked="1" layoutInCell="1" allowOverlap="1" wp14:anchorId="34C28BCC" wp14:editId="3C546B0B">
                <wp:simplePos x="0" y="0"/>
                <wp:positionH relativeFrom="column">
                  <wp:posOffset>0</wp:posOffset>
                </wp:positionH>
                <wp:positionV relativeFrom="paragraph">
                  <wp:posOffset>-252730</wp:posOffset>
                </wp:positionV>
                <wp:extent cx="4095750" cy="186690"/>
                <wp:effectExtent l="0" t="0" r="2540" b="0"/>
                <wp:wrapNone/>
                <wp:docPr id="1293081404"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59504"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1642A408"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28BCC" id="Text Box 202" o:spid="_x0000_s1051" type="#_x0000_t202" style="position:absolute;left:0;text-align:left;margin-left:0;margin-top:-19.9pt;width:322.5pt;height:14.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SGa+m7wEAAMIDAAAOAAAAAAAAAAAAAAAAAC4CAABkcnMvZTJv&#10;RG9jLnhtbFBLAQItABQABgAIAAAAIQCnTgMH3gAAAAgBAAAPAAAAAAAAAAAAAAAAAEkEAABkcnMv&#10;ZG93bnJldi54bWxQSwUGAAAAAAQABADzAAAAVAUAAAAA&#10;" stroked="f">
                <v:textbox inset="0,0,0,0">
                  <w:txbxContent>
                    <w:p w14:paraId="48559504"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1642A408" w14:textId="77777777" w:rsidR="00AE2133" w:rsidRDefault="00AE2133">
                      <w:pPr>
                        <w:rPr>
                          <w:b/>
                          <w:bCs/>
                          <w:sz w:val="2"/>
                          <w:u w:val="single"/>
                        </w:rPr>
                      </w:pPr>
                    </w:p>
                  </w:txbxContent>
                </v:textbox>
                <w10:anchorlock/>
              </v:shape>
            </w:pict>
          </mc:Fallback>
        </mc:AlternateContent>
      </w:r>
      <w:r w:rsidR="00CD484C">
        <w:rPr>
          <w:spacing w:val="-2"/>
          <w:sz w:val="20"/>
          <w:szCs w:val="16"/>
        </w:rPr>
        <w:t xml:space="preserve">Алтынтепинский клад состоит из 4 целых и 972 обломков куфических монет. ММ 314/925-926 г. аш-Шаш. Учитывается 62 монеты, при этом выявление определяющей части клада производится согласно методика анализа </w:t>
      </w:r>
      <w:r w:rsidR="00CD484C">
        <w:rPr>
          <w:spacing w:val="-2"/>
          <w:sz w:val="20"/>
          <w:szCs w:val="16"/>
        </w:rPr>
        <w:lastRenderedPageBreak/>
        <w:t>хронолого-династийного состава кладов Фасмера-Янина. Таким образом диапазон клада составляет чуть больше 40 лет. Младшая ХГ клада, куда мы отнесли 18 шашских монет с трудночитаемой датой 3** г.х. составляет почти 60% всего состава (37) монет и многократно превышает предшествующую ей группу (295–304/907–916) /Рис. 6/. Это позволяет сделать заключение, состоящее в том дирхемы интересующего нас периода были вынесены внешней торговлей в Европу. Вместе с тем, в данном случае более актуально распределение эмиссионной связки аш-Шаш – Самарканд и рассматривая эту пару монетных центров можно абстрагироваться от строгого распределения 18 труднодатируемых шашаских монет, распределяя их не в 10-летнем условном периоде, а в 20-летнем. В этом случае за период с 294–314 г.х. соотношение  монет аш-Шаша и Самарканда составляет как 25 к 12, что наталкивает на мысль о поступлении монет с рынка аш-Шаша, отложившиеся в алтынтепинском кладе, в дополнении к уже существовавшему здесь обороту прежних дирхемов.</w:t>
      </w:r>
    </w:p>
    <w:p w14:paraId="62D6B228" w14:textId="77777777" w:rsidR="00CD484C" w:rsidRDefault="00CD484C">
      <w:pPr>
        <w:ind w:firstLine="397"/>
        <w:jc w:val="both"/>
        <w:rPr>
          <w:sz w:val="20"/>
          <w:szCs w:val="16"/>
        </w:rPr>
      </w:pPr>
      <w:r>
        <w:rPr>
          <w:sz w:val="20"/>
          <w:szCs w:val="16"/>
        </w:rPr>
        <w:t>Попытаться выяснить соотношения монет, выпущенных дворами аш-Шаша и Самарканда в Поочье, куда, как отметил А.В. Фомин, саманидский дирхем поступал через Хазарию по Донскому пути, что происходило до 930-х гг. (Фомин А.В., 1995. – С. 70, 71). /Табл. 4/</w:t>
      </w:r>
    </w:p>
    <w:p w14:paraId="617DA6A2" w14:textId="77777777" w:rsidR="00CD484C" w:rsidRDefault="00CD484C">
      <w:pPr>
        <w:ind w:firstLine="397"/>
        <w:jc w:val="both"/>
        <w:rPr>
          <w:b/>
          <w:bCs/>
          <w:i/>
          <w:iCs/>
          <w:sz w:val="20"/>
          <w:szCs w:val="16"/>
        </w:rPr>
      </w:pPr>
    </w:p>
    <w:p w14:paraId="2C6E8997" w14:textId="77777777" w:rsidR="00CD484C" w:rsidRDefault="00CD484C">
      <w:pPr>
        <w:ind w:firstLine="397"/>
        <w:jc w:val="right"/>
        <w:rPr>
          <w:i/>
          <w:iCs/>
          <w:sz w:val="20"/>
          <w:szCs w:val="16"/>
        </w:rPr>
      </w:pPr>
      <w:r>
        <w:rPr>
          <w:i/>
          <w:iCs/>
          <w:sz w:val="20"/>
          <w:szCs w:val="16"/>
        </w:rPr>
        <w:t xml:space="preserve">Таблица 4 </w:t>
      </w:r>
    </w:p>
    <w:p w14:paraId="27A13F8C" w14:textId="77777777" w:rsidR="00CD484C" w:rsidRDefault="00CD484C">
      <w:pPr>
        <w:spacing w:after="120"/>
        <w:jc w:val="center"/>
        <w:rPr>
          <w:b/>
          <w:bCs/>
          <w:sz w:val="20"/>
          <w:szCs w:val="16"/>
        </w:rPr>
      </w:pPr>
      <w:r>
        <w:rPr>
          <w:b/>
          <w:bCs/>
          <w:sz w:val="20"/>
          <w:szCs w:val="16"/>
        </w:rPr>
        <w:t xml:space="preserve">Распределение монет чеканки аш-Шаш – Самарканд </w:t>
      </w:r>
      <w:r>
        <w:rPr>
          <w:b/>
          <w:bCs/>
          <w:sz w:val="20"/>
          <w:szCs w:val="16"/>
        </w:rPr>
        <w:br/>
        <w:t>в Поокских кладах на рубеже IX–Х вв.</w:t>
      </w:r>
      <w:r>
        <w:rPr>
          <w:rStyle w:val="a6"/>
          <w:b/>
          <w:bCs/>
          <w:sz w:val="20"/>
          <w:szCs w:val="16"/>
        </w:rPr>
        <w:footnoteReference w:customMarkFollows="1" w:id="36"/>
        <w:t>12</w:t>
      </w:r>
    </w:p>
    <w:tbl>
      <w:tblPr>
        <w:tblW w:w="6454" w:type="dxa"/>
        <w:jc w:val="center"/>
        <w:tblBorders>
          <w:top w:val="dashSmallGap" w:sz="4" w:space="0" w:color="auto"/>
          <w:left w:val="dashSmallGap" w:sz="4" w:space="0" w:color="auto"/>
          <w:bottom w:val="dashSmallGap" w:sz="4" w:space="0" w:color="auto"/>
          <w:right w:val="dashSmallGap" w:sz="4" w:space="0" w:color="auto"/>
        </w:tblBorders>
        <w:tblLayout w:type="fixed"/>
        <w:tblCellMar>
          <w:left w:w="57" w:type="dxa"/>
          <w:right w:w="57" w:type="dxa"/>
        </w:tblCellMar>
        <w:tblLook w:val="00A0" w:firstRow="1" w:lastRow="0" w:firstColumn="1" w:lastColumn="0" w:noHBand="0" w:noVBand="0"/>
      </w:tblPr>
      <w:tblGrid>
        <w:gridCol w:w="1181"/>
        <w:gridCol w:w="1080"/>
        <w:gridCol w:w="900"/>
        <w:gridCol w:w="1440"/>
        <w:gridCol w:w="1853"/>
      </w:tblGrid>
      <w:tr w:rsidR="00CD484C" w14:paraId="0AEFB087" w14:textId="77777777">
        <w:trPr>
          <w:trHeight w:val="326"/>
          <w:jc w:val="center"/>
        </w:trPr>
        <w:tc>
          <w:tcPr>
            <w:tcW w:w="1181" w:type="dxa"/>
            <w:shd w:val="pct20" w:color="000000" w:fill="FFFFFF"/>
          </w:tcPr>
          <w:p w14:paraId="700FA198" w14:textId="77777777" w:rsidR="00CD484C" w:rsidRDefault="00CD484C">
            <w:pPr>
              <w:jc w:val="center"/>
              <w:rPr>
                <w:b/>
                <w:caps/>
                <w:sz w:val="14"/>
                <w:szCs w:val="16"/>
              </w:rPr>
            </w:pPr>
            <w:r>
              <w:rPr>
                <w:b/>
                <w:caps/>
                <w:sz w:val="14"/>
                <w:szCs w:val="16"/>
              </w:rPr>
              <w:t>Клад</w:t>
            </w:r>
          </w:p>
        </w:tc>
        <w:tc>
          <w:tcPr>
            <w:tcW w:w="1080" w:type="dxa"/>
            <w:shd w:val="pct20" w:color="000000" w:fill="FFFFFF"/>
          </w:tcPr>
          <w:p w14:paraId="22B725DA" w14:textId="77777777" w:rsidR="00CD484C" w:rsidRDefault="00CD484C">
            <w:pPr>
              <w:pStyle w:val="5"/>
              <w:rPr>
                <w:sz w:val="14"/>
              </w:rPr>
            </w:pPr>
            <w:r>
              <w:rPr>
                <w:sz w:val="14"/>
              </w:rPr>
              <w:t>Самарканд</w:t>
            </w:r>
          </w:p>
        </w:tc>
        <w:tc>
          <w:tcPr>
            <w:tcW w:w="900" w:type="dxa"/>
            <w:shd w:val="pct20" w:color="000000" w:fill="FFFFFF"/>
          </w:tcPr>
          <w:p w14:paraId="6733E9BE" w14:textId="77777777" w:rsidR="00CD484C" w:rsidRDefault="00CD484C">
            <w:pPr>
              <w:pStyle w:val="5"/>
              <w:rPr>
                <w:sz w:val="14"/>
              </w:rPr>
            </w:pPr>
            <w:r>
              <w:rPr>
                <w:sz w:val="14"/>
              </w:rPr>
              <w:t>аш-Шаш</w:t>
            </w:r>
          </w:p>
        </w:tc>
        <w:tc>
          <w:tcPr>
            <w:tcW w:w="1440" w:type="dxa"/>
            <w:shd w:val="pct20" w:color="000000" w:fill="FFFFFF"/>
          </w:tcPr>
          <w:p w14:paraId="4D9B1E26" w14:textId="77777777" w:rsidR="00CD484C" w:rsidRDefault="00CD484C">
            <w:pPr>
              <w:pStyle w:val="6"/>
              <w:rPr>
                <w:sz w:val="14"/>
              </w:rPr>
            </w:pPr>
            <w:r>
              <w:rPr>
                <w:sz w:val="14"/>
              </w:rPr>
              <w:t>Соотношение</w:t>
            </w:r>
          </w:p>
        </w:tc>
        <w:tc>
          <w:tcPr>
            <w:tcW w:w="1853" w:type="dxa"/>
            <w:shd w:val="pct20" w:color="000000" w:fill="FFFFFF"/>
          </w:tcPr>
          <w:p w14:paraId="52E088DF" w14:textId="77777777" w:rsidR="00CD484C" w:rsidRDefault="00CD484C">
            <w:pPr>
              <w:pStyle w:val="7"/>
            </w:pPr>
            <w:r>
              <w:t>Примечание</w:t>
            </w:r>
          </w:p>
        </w:tc>
      </w:tr>
      <w:tr w:rsidR="00CD484C" w14:paraId="0DE6D11B" w14:textId="77777777">
        <w:trPr>
          <w:trHeight w:val="727"/>
          <w:jc w:val="center"/>
        </w:trPr>
        <w:tc>
          <w:tcPr>
            <w:tcW w:w="1181" w:type="dxa"/>
            <w:shd w:val="pct5" w:color="000000" w:fill="FFFFFF"/>
          </w:tcPr>
          <w:p w14:paraId="2853D288" w14:textId="77777777" w:rsidR="00CD484C" w:rsidRDefault="00CD484C">
            <w:pPr>
              <w:jc w:val="both"/>
              <w:rPr>
                <w:sz w:val="16"/>
                <w:szCs w:val="16"/>
              </w:rPr>
            </w:pPr>
            <w:r>
              <w:rPr>
                <w:sz w:val="16"/>
                <w:szCs w:val="16"/>
              </w:rPr>
              <w:t>Засечье</w:t>
            </w:r>
          </w:p>
        </w:tc>
        <w:tc>
          <w:tcPr>
            <w:tcW w:w="1080" w:type="dxa"/>
            <w:shd w:val="pct5" w:color="000000" w:fill="FFFFFF"/>
          </w:tcPr>
          <w:p w14:paraId="32C07AAE" w14:textId="77777777" w:rsidR="00CD484C" w:rsidRDefault="00CD484C">
            <w:pPr>
              <w:jc w:val="center"/>
              <w:rPr>
                <w:sz w:val="16"/>
                <w:szCs w:val="16"/>
              </w:rPr>
            </w:pPr>
            <w:r>
              <w:rPr>
                <w:sz w:val="16"/>
                <w:szCs w:val="16"/>
              </w:rPr>
              <w:t>26</w:t>
            </w:r>
          </w:p>
        </w:tc>
        <w:tc>
          <w:tcPr>
            <w:tcW w:w="900" w:type="dxa"/>
            <w:shd w:val="pct5" w:color="000000" w:fill="FFFFFF"/>
          </w:tcPr>
          <w:p w14:paraId="1D2F45CC" w14:textId="77777777" w:rsidR="00CD484C" w:rsidRDefault="00CD484C">
            <w:pPr>
              <w:jc w:val="center"/>
              <w:rPr>
                <w:sz w:val="16"/>
                <w:szCs w:val="16"/>
              </w:rPr>
            </w:pPr>
            <w:r>
              <w:rPr>
                <w:sz w:val="16"/>
                <w:szCs w:val="16"/>
              </w:rPr>
              <w:t>45</w:t>
            </w:r>
          </w:p>
        </w:tc>
        <w:tc>
          <w:tcPr>
            <w:tcW w:w="1440" w:type="dxa"/>
            <w:shd w:val="pct5" w:color="000000" w:fill="FFFFFF"/>
          </w:tcPr>
          <w:p w14:paraId="39955BC2" w14:textId="77777777" w:rsidR="00CD484C" w:rsidRDefault="00CD484C">
            <w:pPr>
              <w:ind w:hanging="3"/>
              <w:jc w:val="center"/>
              <w:rPr>
                <w:sz w:val="16"/>
                <w:szCs w:val="16"/>
              </w:rPr>
            </w:pPr>
            <w:r>
              <w:rPr>
                <w:sz w:val="16"/>
                <w:szCs w:val="16"/>
              </w:rPr>
              <w:t>1,73</w:t>
            </w:r>
          </w:p>
        </w:tc>
        <w:tc>
          <w:tcPr>
            <w:tcW w:w="1853" w:type="dxa"/>
            <w:shd w:val="pct5" w:color="000000" w:fill="FFFFFF"/>
          </w:tcPr>
          <w:p w14:paraId="31EDE13E" w14:textId="77777777" w:rsidR="00CD484C" w:rsidRDefault="00CD484C">
            <w:pPr>
              <w:rPr>
                <w:sz w:val="16"/>
                <w:szCs w:val="16"/>
              </w:rPr>
            </w:pPr>
            <w:r>
              <w:rPr>
                <w:sz w:val="16"/>
                <w:szCs w:val="16"/>
              </w:rPr>
              <w:t>№ 123. 2 ММ Нисабур, Самарканд 308 г.х.</w:t>
            </w:r>
          </w:p>
        </w:tc>
      </w:tr>
      <w:tr w:rsidR="00CD484C" w14:paraId="7B34B8CF" w14:textId="77777777">
        <w:trPr>
          <w:trHeight w:val="355"/>
          <w:jc w:val="center"/>
        </w:trPr>
        <w:tc>
          <w:tcPr>
            <w:tcW w:w="1181" w:type="dxa"/>
            <w:shd w:val="pct20" w:color="000000" w:fill="FFFFFF"/>
          </w:tcPr>
          <w:p w14:paraId="6AF0BA85" w14:textId="77777777" w:rsidR="00CD484C" w:rsidRDefault="00CD484C">
            <w:pPr>
              <w:jc w:val="both"/>
              <w:rPr>
                <w:sz w:val="16"/>
                <w:szCs w:val="16"/>
              </w:rPr>
            </w:pPr>
            <w:r>
              <w:rPr>
                <w:sz w:val="16"/>
                <w:szCs w:val="16"/>
              </w:rPr>
              <w:t>Спасск 1956 г.</w:t>
            </w:r>
          </w:p>
        </w:tc>
        <w:tc>
          <w:tcPr>
            <w:tcW w:w="1080" w:type="dxa"/>
            <w:shd w:val="pct20" w:color="000000" w:fill="FFFFFF"/>
          </w:tcPr>
          <w:p w14:paraId="3030659F" w14:textId="77777777" w:rsidR="00CD484C" w:rsidRDefault="00CD484C">
            <w:pPr>
              <w:jc w:val="center"/>
              <w:rPr>
                <w:sz w:val="16"/>
                <w:szCs w:val="16"/>
              </w:rPr>
            </w:pPr>
            <w:r>
              <w:rPr>
                <w:sz w:val="16"/>
                <w:szCs w:val="16"/>
              </w:rPr>
              <w:t>8</w:t>
            </w:r>
          </w:p>
        </w:tc>
        <w:tc>
          <w:tcPr>
            <w:tcW w:w="900" w:type="dxa"/>
            <w:shd w:val="pct20" w:color="000000" w:fill="FFFFFF"/>
          </w:tcPr>
          <w:p w14:paraId="4BB74E6A" w14:textId="77777777" w:rsidR="00CD484C" w:rsidRDefault="00CD484C">
            <w:pPr>
              <w:jc w:val="center"/>
              <w:rPr>
                <w:sz w:val="16"/>
                <w:szCs w:val="16"/>
              </w:rPr>
            </w:pPr>
            <w:r>
              <w:rPr>
                <w:sz w:val="16"/>
                <w:szCs w:val="16"/>
              </w:rPr>
              <w:t>6</w:t>
            </w:r>
          </w:p>
        </w:tc>
        <w:tc>
          <w:tcPr>
            <w:tcW w:w="1440" w:type="dxa"/>
            <w:shd w:val="pct20" w:color="000000" w:fill="FFFFFF"/>
          </w:tcPr>
          <w:p w14:paraId="5248278D" w14:textId="77777777" w:rsidR="00CD484C" w:rsidRDefault="00CD484C">
            <w:pPr>
              <w:ind w:hanging="3"/>
              <w:jc w:val="center"/>
              <w:rPr>
                <w:sz w:val="16"/>
                <w:szCs w:val="16"/>
              </w:rPr>
            </w:pPr>
            <w:r>
              <w:rPr>
                <w:sz w:val="16"/>
                <w:szCs w:val="16"/>
              </w:rPr>
              <w:t>0,75</w:t>
            </w:r>
          </w:p>
        </w:tc>
        <w:tc>
          <w:tcPr>
            <w:tcW w:w="1853" w:type="dxa"/>
            <w:shd w:val="pct20" w:color="000000" w:fill="FFFFFF"/>
          </w:tcPr>
          <w:p w14:paraId="35222D68" w14:textId="77777777" w:rsidR="00CD484C" w:rsidRDefault="00CD484C">
            <w:pPr>
              <w:rPr>
                <w:sz w:val="16"/>
                <w:szCs w:val="16"/>
              </w:rPr>
            </w:pPr>
            <w:r>
              <w:rPr>
                <w:sz w:val="16"/>
                <w:szCs w:val="16"/>
              </w:rPr>
              <w:t>№ 173. ММ 309 г.х. Андераб</w:t>
            </w:r>
          </w:p>
        </w:tc>
      </w:tr>
      <w:tr w:rsidR="00CD484C" w14:paraId="76AA1A54" w14:textId="77777777">
        <w:trPr>
          <w:trHeight w:val="370"/>
          <w:jc w:val="center"/>
        </w:trPr>
        <w:tc>
          <w:tcPr>
            <w:tcW w:w="1181" w:type="dxa"/>
            <w:shd w:val="pct5" w:color="000000" w:fill="FFFFFF"/>
          </w:tcPr>
          <w:p w14:paraId="30A2C8B9" w14:textId="77777777" w:rsidR="00CD484C" w:rsidRDefault="00CD484C">
            <w:pPr>
              <w:jc w:val="both"/>
              <w:rPr>
                <w:sz w:val="16"/>
                <w:szCs w:val="16"/>
              </w:rPr>
            </w:pPr>
            <w:r>
              <w:rPr>
                <w:sz w:val="16"/>
                <w:szCs w:val="16"/>
              </w:rPr>
              <w:t>Борки 1958 г.</w:t>
            </w:r>
          </w:p>
        </w:tc>
        <w:tc>
          <w:tcPr>
            <w:tcW w:w="1080" w:type="dxa"/>
            <w:shd w:val="pct5" w:color="000000" w:fill="FFFFFF"/>
          </w:tcPr>
          <w:p w14:paraId="6FFB2DDB" w14:textId="77777777" w:rsidR="00CD484C" w:rsidRDefault="00CD484C">
            <w:pPr>
              <w:jc w:val="center"/>
              <w:rPr>
                <w:sz w:val="16"/>
                <w:szCs w:val="16"/>
              </w:rPr>
            </w:pPr>
            <w:r>
              <w:rPr>
                <w:sz w:val="16"/>
                <w:szCs w:val="16"/>
              </w:rPr>
              <w:t>7</w:t>
            </w:r>
          </w:p>
        </w:tc>
        <w:tc>
          <w:tcPr>
            <w:tcW w:w="900" w:type="dxa"/>
            <w:shd w:val="pct5" w:color="000000" w:fill="FFFFFF"/>
          </w:tcPr>
          <w:p w14:paraId="121B23CC" w14:textId="77777777" w:rsidR="00CD484C" w:rsidRDefault="00CD484C">
            <w:pPr>
              <w:jc w:val="center"/>
              <w:rPr>
                <w:sz w:val="16"/>
                <w:szCs w:val="16"/>
              </w:rPr>
            </w:pPr>
            <w:r>
              <w:rPr>
                <w:sz w:val="16"/>
                <w:szCs w:val="16"/>
              </w:rPr>
              <w:t>11</w:t>
            </w:r>
          </w:p>
        </w:tc>
        <w:tc>
          <w:tcPr>
            <w:tcW w:w="1440" w:type="dxa"/>
            <w:shd w:val="pct5" w:color="000000" w:fill="FFFFFF"/>
          </w:tcPr>
          <w:p w14:paraId="3638F8B1" w14:textId="77777777" w:rsidR="00CD484C" w:rsidRDefault="00CD484C">
            <w:pPr>
              <w:ind w:hanging="3"/>
              <w:jc w:val="center"/>
              <w:rPr>
                <w:sz w:val="16"/>
                <w:szCs w:val="16"/>
              </w:rPr>
            </w:pPr>
            <w:r>
              <w:rPr>
                <w:sz w:val="16"/>
                <w:szCs w:val="16"/>
              </w:rPr>
              <w:t>1,57</w:t>
            </w:r>
          </w:p>
        </w:tc>
        <w:tc>
          <w:tcPr>
            <w:tcW w:w="1853" w:type="dxa"/>
            <w:shd w:val="pct5" w:color="000000" w:fill="FFFFFF"/>
          </w:tcPr>
          <w:p w14:paraId="42A95EE4" w14:textId="77777777" w:rsidR="00CD484C" w:rsidRDefault="00CD484C">
            <w:pPr>
              <w:rPr>
                <w:sz w:val="16"/>
                <w:szCs w:val="16"/>
              </w:rPr>
            </w:pPr>
            <w:r>
              <w:rPr>
                <w:sz w:val="16"/>
                <w:szCs w:val="16"/>
              </w:rPr>
              <w:t xml:space="preserve">№ 143. ММ 372 г.х. </w:t>
            </w:r>
            <w:r>
              <w:rPr>
                <w:sz w:val="16"/>
                <w:szCs w:val="16"/>
              </w:rPr>
              <w:br/>
              <w:t>аш-Шаш.</w:t>
            </w:r>
          </w:p>
        </w:tc>
      </w:tr>
    </w:tbl>
    <w:p w14:paraId="76C10FFC" w14:textId="77777777" w:rsidR="00CD484C" w:rsidRDefault="00CD484C">
      <w:pPr>
        <w:ind w:firstLine="397"/>
        <w:jc w:val="both"/>
        <w:rPr>
          <w:sz w:val="20"/>
          <w:szCs w:val="16"/>
        </w:rPr>
      </w:pPr>
    </w:p>
    <w:p w14:paraId="678F1FF8" w14:textId="77777777" w:rsidR="00CD484C" w:rsidRDefault="00CD484C">
      <w:pPr>
        <w:ind w:firstLine="397"/>
        <w:jc w:val="both"/>
        <w:rPr>
          <w:sz w:val="20"/>
          <w:szCs w:val="16"/>
        </w:rPr>
      </w:pPr>
      <w:r>
        <w:rPr>
          <w:sz w:val="20"/>
          <w:szCs w:val="16"/>
        </w:rPr>
        <w:t xml:space="preserve">Приведенные данные показывают, что в Поочье, которое Т.Нунан называет ключом к Восточной Европе (Noonan Th.S., 2000. – Р. 384), нет кладов, содержащие чистые самаркандиские или шашские эмиссии, существуют клады, где эмиссии названных центров примерно поровну. Однако на среднем Поволжье эмиссии ташкентского монетного двора превышают самаркандский. Это не может не свидетельствовать при наличии </w:t>
      </w:r>
      <w:r>
        <w:rPr>
          <w:sz w:val="20"/>
          <w:szCs w:val="16"/>
        </w:rPr>
        <w:lastRenderedPageBreak/>
        <w:t xml:space="preserve">«самаркандского» клада Красный десант, что самаркандская монета транзитом проходила вверх по Волге, насыщая и без того не бедный  рынок Волжской Булгарии, а, кроме того, шла также транзитом через Хазарию на рынок Оки, куда также поступала монета со средней Волги – монета Шаша.       </w:t>
      </w:r>
    </w:p>
    <w:p w14:paraId="78CA5CCF" w14:textId="77777777" w:rsidR="00CD484C" w:rsidRDefault="00CD484C">
      <w:pPr>
        <w:ind w:firstLine="397"/>
        <w:jc w:val="both"/>
        <w:rPr>
          <w:spacing w:val="-2"/>
          <w:sz w:val="20"/>
          <w:szCs w:val="16"/>
        </w:rPr>
      </w:pPr>
      <w:r>
        <w:rPr>
          <w:spacing w:val="-2"/>
          <w:sz w:val="20"/>
          <w:szCs w:val="16"/>
        </w:rPr>
        <w:t>Выявление кладов, содержащие только самаркандские эмиссии на территории Восточной Европы, представляется актуальным, т.к. М.Е. Массон еще в 1928 г. опубликовал сведения о кладе, найденном на городище Афрасиаб, который состоял из 39 монет с датой ММ 357 г.х. и содержал только дирхемы самаркандской эмиссии (Массон М.Е., 1928. – С. 287. № 19). К сожалению, не атрибутированный полностью клад, как представляется публикатору, содержащий только самаркандский чекан, был обнаружен в Брянской области между деревнями Ивановка и Лотаки Красногорского района, состоящий из одних только дирхемов Самарканда с датой ММ 324/335–336 г. (Полозов И.М., 1963. – С. 4), что позволяет высказать ко многому обязывающие следствия, например, о скорости монетного потока, транзите и обходе саманидской монеты Хазарии в первой половине Х в., известные нам по историко-нумизматической литературе.</w:t>
      </w:r>
    </w:p>
    <w:p w14:paraId="06576ABD" w14:textId="77777777" w:rsidR="00CD484C" w:rsidRDefault="00CD484C">
      <w:pPr>
        <w:spacing w:after="120"/>
        <w:ind w:firstLine="397"/>
        <w:jc w:val="both"/>
        <w:rPr>
          <w:sz w:val="20"/>
          <w:szCs w:val="16"/>
        </w:rPr>
      </w:pPr>
      <w:r>
        <w:rPr>
          <w:sz w:val="20"/>
          <w:szCs w:val="16"/>
        </w:rPr>
        <w:t>В этой связи обратим внимание на клад, найденным при земляных работах на территории пионерского лагеря «Зеленый шлем» у с. Лужки Серпуховского района Московской области в 1973 г., благо 163 дирхема (ММ 302/915), поступившие в местный музей (Калинин В.А., 2000. – С. 213–214), позволяют верифицировать проникновение шашской монетной эмиссии на восточноевропейские денежные рынки конца IX – начала Х в. Не вдаваясь в специальное изучение данного памятника, поскольку встает необходимость рассмотрения всех кладов с датой ММ соответствующей дате опорного в данной работе камско-чепецкого Богдановского клада, заметим, что все основные  параметры  клада 1973 г. практически не отличаются от рассмотренных здесь синхронных источников</w:t>
      </w:r>
      <w:r>
        <w:rPr>
          <w:rStyle w:val="a6"/>
          <w:sz w:val="20"/>
          <w:szCs w:val="16"/>
        </w:rPr>
        <w:footnoteReference w:customMarkFollows="1" w:id="37"/>
        <w:t>13</w:t>
      </w:r>
      <w:r>
        <w:rPr>
          <w:sz w:val="20"/>
          <w:szCs w:val="16"/>
        </w:rPr>
        <w:t>. /Рис. 7, 8/.</w:t>
      </w:r>
    </w:p>
    <w:p w14:paraId="62A679BF" w14:textId="64AD732F" w:rsidR="00CD484C" w:rsidRDefault="00395416">
      <w:pPr>
        <w:jc w:val="center"/>
        <w:rPr>
          <w:sz w:val="20"/>
          <w:szCs w:val="16"/>
        </w:rPr>
      </w:pPr>
      <w:r>
        <w:rPr>
          <w:noProof/>
          <w:sz w:val="20"/>
          <w:szCs w:val="16"/>
        </w:rPr>
        <w:lastRenderedPageBreak/>
        <mc:AlternateContent>
          <mc:Choice Requires="wps">
            <w:drawing>
              <wp:anchor distT="0" distB="0" distL="114300" distR="114300" simplePos="0" relativeHeight="251646464" behindDoc="0" locked="1" layoutInCell="1" allowOverlap="1" wp14:anchorId="2679DA3E" wp14:editId="095388A2">
                <wp:simplePos x="0" y="0"/>
                <wp:positionH relativeFrom="column">
                  <wp:posOffset>0</wp:posOffset>
                </wp:positionH>
                <wp:positionV relativeFrom="paragraph">
                  <wp:posOffset>-252730</wp:posOffset>
                </wp:positionV>
                <wp:extent cx="4095750" cy="186690"/>
                <wp:effectExtent l="0" t="0" r="2540" b="0"/>
                <wp:wrapNone/>
                <wp:docPr id="104597312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E33ACF"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5653C4C1"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9DA3E" id="Text Box 203" o:spid="_x0000_s1052" type="#_x0000_t202" style="position:absolute;left:0;text-align:left;margin-left:0;margin-top:-19.9pt;width:322.5pt;height:14.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HDlBY7wEAAMIDAAAOAAAAAAAAAAAAAAAAAC4CAABkcnMvZTJv&#10;RG9jLnhtbFBLAQItABQABgAIAAAAIQCnTgMH3gAAAAgBAAAPAAAAAAAAAAAAAAAAAEkEAABkcnMv&#10;ZG93bnJldi54bWxQSwUGAAAAAAQABADzAAAAVAUAAAAA&#10;" stroked="f">
                <v:textbox inset="0,0,0,0">
                  <w:txbxContent>
                    <w:p w14:paraId="06E33ACF"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5653C4C1" w14:textId="77777777" w:rsidR="00AE2133" w:rsidRDefault="00AE2133">
                      <w:pPr>
                        <w:rPr>
                          <w:b/>
                          <w:bCs/>
                          <w:sz w:val="2"/>
                          <w:u w:val="single"/>
                        </w:rPr>
                      </w:pPr>
                    </w:p>
                  </w:txbxContent>
                </v:textbox>
                <w10:anchorlock/>
              </v:shape>
            </w:pict>
          </mc:Fallback>
        </mc:AlternateContent>
      </w:r>
      <w:r>
        <w:rPr>
          <w:noProof/>
          <w:sz w:val="20"/>
          <w:szCs w:val="16"/>
        </w:rPr>
        <w:drawing>
          <wp:inline distT="0" distB="0" distL="0" distR="0" wp14:anchorId="0BB61838" wp14:editId="29DF4423">
            <wp:extent cx="2933700" cy="2106295"/>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7999138" w14:textId="77777777" w:rsidR="00CD484C" w:rsidRDefault="00CD484C">
      <w:pPr>
        <w:ind w:firstLine="397"/>
        <w:jc w:val="center"/>
        <w:rPr>
          <w:i/>
          <w:iCs/>
          <w:sz w:val="20"/>
          <w:szCs w:val="16"/>
        </w:rPr>
      </w:pPr>
    </w:p>
    <w:p w14:paraId="4964DC59" w14:textId="77777777" w:rsidR="00CD484C" w:rsidRDefault="00CD484C">
      <w:pPr>
        <w:jc w:val="center"/>
        <w:rPr>
          <w:i/>
          <w:iCs/>
          <w:sz w:val="18"/>
          <w:szCs w:val="16"/>
        </w:rPr>
      </w:pPr>
      <w:r>
        <w:rPr>
          <w:b/>
          <w:bCs/>
          <w:i/>
          <w:iCs/>
          <w:sz w:val="18"/>
          <w:szCs w:val="16"/>
        </w:rPr>
        <w:t>Рис. 7.</w:t>
      </w:r>
      <w:r>
        <w:rPr>
          <w:i/>
          <w:iCs/>
          <w:sz w:val="18"/>
          <w:szCs w:val="16"/>
        </w:rPr>
        <w:t xml:space="preserve"> Клад Лужки 1973 г. Хронологическое распределение </w:t>
      </w:r>
      <w:r>
        <w:rPr>
          <w:i/>
          <w:iCs/>
          <w:sz w:val="18"/>
          <w:szCs w:val="16"/>
        </w:rPr>
        <w:br/>
        <w:t>(по В.А. Калинину, 163 монеты)</w:t>
      </w:r>
    </w:p>
    <w:p w14:paraId="3D66155A" w14:textId="77777777" w:rsidR="00CD484C" w:rsidRDefault="00CD484C">
      <w:pPr>
        <w:ind w:firstLine="397"/>
        <w:jc w:val="center"/>
        <w:rPr>
          <w:i/>
          <w:iCs/>
          <w:sz w:val="20"/>
          <w:szCs w:val="16"/>
        </w:rPr>
      </w:pPr>
    </w:p>
    <w:p w14:paraId="104E016E" w14:textId="0C9D6EA0" w:rsidR="00CD484C" w:rsidRDefault="00395416">
      <w:pPr>
        <w:jc w:val="center"/>
        <w:rPr>
          <w:sz w:val="20"/>
          <w:szCs w:val="16"/>
        </w:rPr>
      </w:pPr>
      <w:r>
        <w:rPr>
          <w:noProof/>
          <w:sz w:val="20"/>
          <w:szCs w:val="16"/>
        </w:rPr>
        <w:drawing>
          <wp:inline distT="0" distB="0" distL="0" distR="0" wp14:anchorId="63CBD37D" wp14:editId="2D937287">
            <wp:extent cx="3902710" cy="2639695"/>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B99835F" w14:textId="77777777" w:rsidR="00CD484C" w:rsidRDefault="00CD484C">
      <w:pPr>
        <w:ind w:firstLine="397"/>
        <w:jc w:val="center"/>
        <w:rPr>
          <w:i/>
          <w:iCs/>
          <w:sz w:val="20"/>
          <w:szCs w:val="16"/>
        </w:rPr>
      </w:pPr>
    </w:p>
    <w:p w14:paraId="6B51A601" w14:textId="77777777" w:rsidR="00CD484C" w:rsidRDefault="00CD484C">
      <w:pPr>
        <w:jc w:val="center"/>
        <w:rPr>
          <w:i/>
          <w:iCs/>
          <w:sz w:val="18"/>
          <w:szCs w:val="16"/>
        </w:rPr>
      </w:pPr>
      <w:r>
        <w:rPr>
          <w:b/>
          <w:bCs/>
          <w:i/>
          <w:iCs/>
          <w:sz w:val="18"/>
          <w:szCs w:val="16"/>
        </w:rPr>
        <w:t>Рис. 8.</w:t>
      </w:r>
      <w:r>
        <w:rPr>
          <w:i/>
          <w:iCs/>
          <w:sz w:val="18"/>
          <w:szCs w:val="16"/>
        </w:rPr>
        <w:t xml:space="preserve"> Эмиссионное распределение клада Лужки 1973 г.</w:t>
      </w:r>
    </w:p>
    <w:p w14:paraId="365A740B" w14:textId="77777777" w:rsidR="00CD484C" w:rsidRDefault="00CD484C">
      <w:pPr>
        <w:ind w:firstLine="397"/>
        <w:jc w:val="both"/>
        <w:rPr>
          <w:sz w:val="20"/>
          <w:szCs w:val="16"/>
        </w:rPr>
      </w:pPr>
    </w:p>
    <w:p w14:paraId="47229141" w14:textId="77777777" w:rsidR="00CD484C" w:rsidRDefault="00CD484C">
      <w:pPr>
        <w:ind w:firstLine="397"/>
        <w:jc w:val="both"/>
        <w:rPr>
          <w:sz w:val="20"/>
          <w:szCs w:val="16"/>
        </w:rPr>
      </w:pPr>
      <w:r>
        <w:rPr>
          <w:sz w:val="20"/>
          <w:szCs w:val="16"/>
        </w:rPr>
        <w:t xml:space="preserve">Рассмотрим вопрос о месте андерабской монеты  в денежных рынках Самарканда и аш-Шаша по материалам Поволжских кладов. По данным кладами Муром 1868 г. на период 895–304/897–916 гг. приходится  пик </w:t>
      </w:r>
      <w:r>
        <w:rPr>
          <w:sz w:val="20"/>
          <w:szCs w:val="16"/>
        </w:rPr>
        <w:lastRenderedPageBreak/>
        <w:t>распределения андерабских монет, что подтверждается кладом Богдановским</w:t>
      </w:r>
      <w:r>
        <w:rPr>
          <w:rStyle w:val="a6"/>
          <w:sz w:val="20"/>
          <w:szCs w:val="16"/>
        </w:rPr>
        <w:footnoteReference w:customMarkFollows="1" w:id="38"/>
        <w:t>14</w:t>
      </w:r>
      <w:r>
        <w:rPr>
          <w:sz w:val="20"/>
          <w:szCs w:val="16"/>
        </w:rPr>
        <w:t>. Сначала выведем показатель суммарного соотношения связки аш-Шаш – Самарканд к количеству монет Андераба, с целью. привязать его к показателю соотношения Шаш/Самарканд. И, отдельно, % андреабских монет в том же хронологическом срезе исходя из показателя количество монет в каждой ХГ. /Табл. 5/.</w:t>
      </w:r>
    </w:p>
    <w:p w14:paraId="142B3A7D" w14:textId="77777777" w:rsidR="00CD484C" w:rsidRDefault="00CD484C">
      <w:pPr>
        <w:ind w:firstLine="397"/>
        <w:jc w:val="both"/>
        <w:rPr>
          <w:sz w:val="10"/>
          <w:szCs w:val="16"/>
        </w:rPr>
      </w:pPr>
    </w:p>
    <w:p w14:paraId="596F9903" w14:textId="77777777" w:rsidR="00CD484C" w:rsidRDefault="00CD484C">
      <w:pPr>
        <w:ind w:firstLine="397"/>
        <w:jc w:val="right"/>
        <w:rPr>
          <w:i/>
          <w:iCs/>
          <w:sz w:val="20"/>
          <w:szCs w:val="16"/>
        </w:rPr>
      </w:pPr>
      <w:r>
        <w:rPr>
          <w:i/>
          <w:iCs/>
          <w:sz w:val="20"/>
          <w:szCs w:val="16"/>
        </w:rPr>
        <w:t xml:space="preserve">Таблица 5 </w:t>
      </w:r>
    </w:p>
    <w:p w14:paraId="294DEC7F" w14:textId="77777777" w:rsidR="00CD484C" w:rsidRDefault="00CD484C">
      <w:pPr>
        <w:spacing w:after="120"/>
        <w:jc w:val="center"/>
        <w:rPr>
          <w:b/>
          <w:bCs/>
          <w:sz w:val="20"/>
          <w:szCs w:val="16"/>
        </w:rPr>
      </w:pPr>
      <w:r>
        <w:rPr>
          <w:b/>
          <w:bCs/>
          <w:sz w:val="20"/>
          <w:szCs w:val="16"/>
        </w:rPr>
        <w:t xml:space="preserve">Распределение андерабских монет в эмиссионной связке </w:t>
      </w:r>
      <w:r>
        <w:rPr>
          <w:b/>
          <w:bCs/>
          <w:sz w:val="20"/>
          <w:szCs w:val="16"/>
        </w:rPr>
        <w:br/>
        <w:t>аш-Шаш – Самарканд</w:t>
      </w:r>
    </w:p>
    <w:tbl>
      <w:tblPr>
        <w:tblW w:w="6402" w:type="dxa"/>
        <w:tblBorders>
          <w:left w:val="dashSmallGap" w:sz="4" w:space="0" w:color="auto"/>
          <w:bottom w:val="dashSmallGap" w:sz="4" w:space="0" w:color="auto"/>
          <w:right w:val="dashSmallGap" w:sz="4" w:space="0" w:color="auto"/>
        </w:tblBorders>
        <w:tblLayout w:type="fixed"/>
        <w:tblCellMar>
          <w:left w:w="30" w:type="dxa"/>
          <w:right w:w="30" w:type="dxa"/>
        </w:tblCellMar>
        <w:tblLook w:val="00A0" w:firstRow="1" w:lastRow="0" w:firstColumn="1" w:lastColumn="0" w:noHBand="0" w:noVBand="0"/>
      </w:tblPr>
      <w:tblGrid>
        <w:gridCol w:w="1831"/>
        <w:gridCol w:w="1524"/>
        <w:gridCol w:w="1076"/>
        <w:gridCol w:w="1971"/>
      </w:tblGrid>
      <w:tr w:rsidR="00CD484C" w14:paraId="2A77C026" w14:textId="77777777">
        <w:trPr>
          <w:trHeight w:val="270"/>
        </w:trPr>
        <w:tc>
          <w:tcPr>
            <w:tcW w:w="1831" w:type="dxa"/>
            <w:shd w:val="pct20" w:color="000000" w:fill="FFFFFF"/>
          </w:tcPr>
          <w:p w14:paraId="2D7686E6" w14:textId="77777777" w:rsidR="00CD484C" w:rsidRDefault="00CD484C">
            <w:pPr>
              <w:ind w:firstLine="397"/>
              <w:jc w:val="both"/>
              <w:rPr>
                <w:b/>
                <w:sz w:val="18"/>
                <w:szCs w:val="16"/>
              </w:rPr>
            </w:pPr>
          </w:p>
        </w:tc>
        <w:tc>
          <w:tcPr>
            <w:tcW w:w="1524" w:type="dxa"/>
            <w:shd w:val="pct20" w:color="000000" w:fill="FFFFFF"/>
          </w:tcPr>
          <w:p w14:paraId="3721F953" w14:textId="77777777" w:rsidR="00CD484C" w:rsidRDefault="00CD484C">
            <w:pPr>
              <w:pStyle w:val="8"/>
              <w:rPr>
                <w:sz w:val="18"/>
              </w:rPr>
            </w:pPr>
            <w:r>
              <w:rPr>
                <w:sz w:val="18"/>
              </w:rPr>
              <w:t>Шаш +С-нд/Анд</w:t>
            </w:r>
          </w:p>
        </w:tc>
        <w:tc>
          <w:tcPr>
            <w:tcW w:w="1076" w:type="dxa"/>
            <w:shd w:val="pct20" w:color="000000" w:fill="FFFFFF"/>
          </w:tcPr>
          <w:p w14:paraId="2D66C1D7" w14:textId="77777777" w:rsidR="00CD484C" w:rsidRDefault="00CD484C">
            <w:pPr>
              <w:pStyle w:val="8"/>
              <w:rPr>
                <w:sz w:val="18"/>
              </w:rPr>
            </w:pPr>
            <w:r>
              <w:rPr>
                <w:sz w:val="18"/>
              </w:rPr>
              <w:t>Шаш /С-нд</w:t>
            </w:r>
          </w:p>
        </w:tc>
        <w:tc>
          <w:tcPr>
            <w:tcW w:w="1971" w:type="dxa"/>
            <w:shd w:val="pct20" w:color="000000" w:fill="FFFFFF"/>
          </w:tcPr>
          <w:p w14:paraId="5A272308" w14:textId="77777777" w:rsidR="00CD484C" w:rsidRDefault="00CD484C">
            <w:pPr>
              <w:jc w:val="center"/>
              <w:rPr>
                <w:b/>
                <w:sz w:val="18"/>
                <w:szCs w:val="16"/>
              </w:rPr>
            </w:pPr>
            <w:r>
              <w:rPr>
                <w:b/>
                <w:sz w:val="18"/>
                <w:szCs w:val="16"/>
              </w:rPr>
              <w:t>% андерабских монет</w:t>
            </w:r>
          </w:p>
        </w:tc>
      </w:tr>
      <w:tr w:rsidR="00CD484C" w14:paraId="19A1E553" w14:textId="77777777">
        <w:trPr>
          <w:trHeight w:val="270"/>
        </w:trPr>
        <w:tc>
          <w:tcPr>
            <w:tcW w:w="1831" w:type="dxa"/>
            <w:shd w:val="pct5" w:color="000000" w:fill="FFFFFF"/>
          </w:tcPr>
          <w:p w14:paraId="4F134E44" w14:textId="77777777" w:rsidR="00CD484C" w:rsidRDefault="00CD484C">
            <w:pPr>
              <w:jc w:val="both"/>
              <w:rPr>
                <w:sz w:val="18"/>
                <w:szCs w:val="16"/>
              </w:rPr>
            </w:pPr>
            <w:r>
              <w:rPr>
                <w:sz w:val="18"/>
                <w:szCs w:val="16"/>
              </w:rPr>
              <w:t>Казанск.губ. 1840 г.</w:t>
            </w:r>
          </w:p>
        </w:tc>
        <w:tc>
          <w:tcPr>
            <w:tcW w:w="1524" w:type="dxa"/>
            <w:shd w:val="pct5" w:color="000000" w:fill="FFFFFF"/>
          </w:tcPr>
          <w:p w14:paraId="32AE6617" w14:textId="77777777" w:rsidR="00CD484C" w:rsidRDefault="00CD484C">
            <w:pPr>
              <w:jc w:val="center"/>
              <w:rPr>
                <w:sz w:val="18"/>
                <w:szCs w:val="16"/>
              </w:rPr>
            </w:pPr>
            <w:r>
              <w:rPr>
                <w:sz w:val="18"/>
                <w:szCs w:val="16"/>
              </w:rPr>
              <w:t>4,33</w:t>
            </w:r>
          </w:p>
        </w:tc>
        <w:tc>
          <w:tcPr>
            <w:tcW w:w="1076" w:type="dxa"/>
            <w:shd w:val="pct5" w:color="000000" w:fill="FFFFFF"/>
          </w:tcPr>
          <w:p w14:paraId="678F3C99" w14:textId="77777777" w:rsidR="00CD484C" w:rsidRDefault="00CD484C">
            <w:pPr>
              <w:jc w:val="center"/>
              <w:rPr>
                <w:sz w:val="18"/>
                <w:szCs w:val="16"/>
              </w:rPr>
            </w:pPr>
            <w:r>
              <w:rPr>
                <w:sz w:val="18"/>
                <w:szCs w:val="16"/>
              </w:rPr>
              <w:t>2,75</w:t>
            </w:r>
          </w:p>
        </w:tc>
        <w:tc>
          <w:tcPr>
            <w:tcW w:w="1971" w:type="dxa"/>
            <w:shd w:val="pct5" w:color="000000" w:fill="FFFFFF"/>
          </w:tcPr>
          <w:p w14:paraId="7D1494EB" w14:textId="77777777" w:rsidR="00CD484C" w:rsidRDefault="00CD484C">
            <w:pPr>
              <w:jc w:val="center"/>
              <w:rPr>
                <w:sz w:val="18"/>
                <w:szCs w:val="16"/>
              </w:rPr>
            </w:pPr>
            <w:r>
              <w:rPr>
                <w:sz w:val="18"/>
                <w:szCs w:val="16"/>
              </w:rPr>
              <w:t>12,95</w:t>
            </w:r>
          </w:p>
        </w:tc>
      </w:tr>
      <w:tr w:rsidR="00CD484C" w14:paraId="4926B367" w14:textId="77777777">
        <w:trPr>
          <w:trHeight w:val="270"/>
        </w:trPr>
        <w:tc>
          <w:tcPr>
            <w:tcW w:w="1831" w:type="dxa"/>
            <w:shd w:val="pct20" w:color="000000" w:fill="FFFFFF"/>
          </w:tcPr>
          <w:p w14:paraId="72E74EA2" w14:textId="77777777" w:rsidR="00CD484C" w:rsidRDefault="00CD484C">
            <w:pPr>
              <w:jc w:val="both"/>
              <w:rPr>
                <w:sz w:val="18"/>
                <w:szCs w:val="16"/>
              </w:rPr>
            </w:pPr>
            <w:r>
              <w:rPr>
                <w:sz w:val="18"/>
                <w:szCs w:val="16"/>
              </w:rPr>
              <w:t>Муром 1868 г</w:t>
            </w:r>
          </w:p>
        </w:tc>
        <w:tc>
          <w:tcPr>
            <w:tcW w:w="1524" w:type="dxa"/>
            <w:shd w:val="pct20" w:color="000000" w:fill="FFFFFF"/>
          </w:tcPr>
          <w:p w14:paraId="2EC08082" w14:textId="77777777" w:rsidR="00CD484C" w:rsidRDefault="00CD484C">
            <w:pPr>
              <w:jc w:val="center"/>
              <w:rPr>
                <w:sz w:val="18"/>
                <w:szCs w:val="16"/>
              </w:rPr>
            </w:pPr>
            <w:r>
              <w:rPr>
                <w:sz w:val="18"/>
                <w:szCs w:val="16"/>
              </w:rPr>
              <w:t>3,55</w:t>
            </w:r>
          </w:p>
        </w:tc>
        <w:tc>
          <w:tcPr>
            <w:tcW w:w="1076" w:type="dxa"/>
            <w:shd w:val="pct20" w:color="000000" w:fill="FFFFFF"/>
          </w:tcPr>
          <w:p w14:paraId="2A0EC52F" w14:textId="77777777" w:rsidR="00CD484C" w:rsidRDefault="00CD484C">
            <w:pPr>
              <w:jc w:val="center"/>
              <w:rPr>
                <w:sz w:val="18"/>
                <w:szCs w:val="16"/>
              </w:rPr>
            </w:pPr>
            <w:r>
              <w:rPr>
                <w:sz w:val="18"/>
                <w:szCs w:val="16"/>
              </w:rPr>
              <w:t>1,58</w:t>
            </w:r>
          </w:p>
        </w:tc>
        <w:tc>
          <w:tcPr>
            <w:tcW w:w="1971" w:type="dxa"/>
            <w:shd w:val="pct20" w:color="000000" w:fill="FFFFFF"/>
          </w:tcPr>
          <w:p w14:paraId="13AF5A45" w14:textId="77777777" w:rsidR="00CD484C" w:rsidRDefault="00CD484C">
            <w:pPr>
              <w:jc w:val="center"/>
              <w:rPr>
                <w:sz w:val="18"/>
                <w:szCs w:val="16"/>
              </w:rPr>
            </w:pPr>
            <w:r>
              <w:rPr>
                <w:sz w:val="18"/>
                <w:szCs w:val="16"/>
              </w:rPr>
              <w:t>14,21</w:t>
            </w:r>
          </w:p>
        </w:tc>
      </w:tr>
      <w:tr w:rsidR="00CD484C" w14:paraId="5D6C1F2D" w14:textId="77777777">
        <w:trPr>
          <w:trHeight w:val="270"/>
        </w:trPr>
        <w:tc>
          <w:tcPr>
            <w:tcW w:w="1831" w:type="dxa"/>
            <w:shd w:val="pct5" w:color="000000" w:fill="FFFFFF"/>
          </w:tcPr>
          <w:p w14:paraId="6CBD41F1" w14:textId="77777777" w:rsidR="00CD484C" w:rsidRDefault="00CD484C">
            <w:pPr>
              <w:jc w:val="both"/>
              <w:rPr>
                <w:sz w:val="18"/>
                <w:szCs w:val="16"/>
              </w:rPr>
            </w:pPr>
            <w:r>
              <w:rPr>
                <w:sz w:val="18"/>
                <w:szCs w:val="16"/>
              </w:rPr>
              <w:t xml:space="preserve">Богдановский </w:t>
            </w:r>
          </w:p>
          <w:p w14:paraId="3397BE5A" w14:textId="77777777" w:rsidR="00CD484C" w:rsidRDefault="00CD484C">
            <w:pPr>
              <w:jc w:val="both"/>
              <w:rPr>
                <w:sz w:val="18"/>
                <w:szCs w:val="16"/>
              </w:rPr>
            </w:pPr>
            <w:r>
              <w:rPr>
                <w:sz w:val="18"/>
                <w:szCs w:val="16"/>
              </w:rPr>
              <w:t>1885 г.</w:t>
            </w:r>
          </w:p>
        </w:tc>
        <w:tc>
          <w:tcPr>
            <w:tcW w:w="1524" w:type="dxa"/>
            <w:shd w:val="pct5" w:color="000000" w:fill="FFFFFF"/>
          </w:tcPr>
          <w:p w14:paraId="5F6E49A7" w14:textId="77777777" w:rsidR="00CD484C" w:rsidRDefault="00CD484C">
            <w:pPr>
              <w:jc w:val="center"/>
              <w:rPr>
                <w:sz w:val="18"/>
                <w:szCs w:val="16"/>
              </w:rPr>
            </w:pPr>
            <w:r>
              <w:rPr>
                <w:sz w:val="18"/>
                <w:szCs w:val="16"/>
              </w:rPr>
              <w:t>8,54</w:t>
            </w:r>
          </w:p>
        </w:tc>
        <w:tc>
          <w:tcPr>
            <w:tcW w:w="1076" w:type="dxa"/>
            <w:shd w:val="pct5" w:color="000000" w:fill="FFFFFF"/>
          </w:tcPr>
          <w:p w14:paraId="250C6609" w14:textId="77777777" w:rsidR="00CD484C" w:rsidRDefault="00CD484C">
            <w:pPr>
              <w:jc w:val="center"/>
              <w:rPr>
                <w:sz w:val="18"/>
                <w:szCs w:val="16"/>
              </w:rPr>
            </w:pPr>
            <w:r>
              <w:rPr>
                <w:sz w:val="18"/>
                <w:szCs w:val="16"/>
              </w:rPr>
              <w:t>1,61</w:t>
            </w:r>
          </w:p>
        </w:tc>
        <w:tc>
          <w:tcPr>
            <w:tcW w:w="1971" w:type="dxa"/>
            <w:shd w:val="pct5" w:color="000000" w:fill="FFFFFF"/>
          </w:tcPr>
          <w:p w14:paraId="67B31CFE" w14:textId="77777777" w:rsidR="00CD484C" w:rsidRDefault="00CD484C">
            <w:pPr>
              <w:jc w:val="center"/>
              <w:rPr>
                <w:sz w:val="18"/>
                <w:szCs w:val="16"/>
              </w:rPr>
            </w:pPr>
            <w:r>
              <w:rPr>
                <w:sz w:val="18"/>
                <w:szCs w:val="16"/>
              </w:rPr>
              <w:t>8,46</w:t>
            </w:r>
          </w:p>
        </w:tc>
      </w:tr>
      <w:tr w:rsidR="00CD484C" w14:paraId="57B55988" w14:textId="77777777">
        <w:trPr>
          <w:trHeight w:val="270"/>
        </w:trPr>
        <w:tc>
          <w:tcPr>
            <w:tcW w:w="1831" w:type="dxa"/>
            <w:shd w:val="pct20" w:color="000000" w:fill="FFFFFF"/>
          </w:tcPr>
          <w:p w14:paraId="17F4F890" w14:textId="77777777" w:rsidR="00CD484C" w:rsidRDefault="00CD484C">
            <w:pPr>
              <w:jc w:val="both"/>
              <w:rPr>
                <w:sz w:val="18"/>
                <w:szCs w:val="16"/>
              </w:rPr>
            </w:pPr>
            <w:r>
              <w:rPr>
                <w:sz w:val="18"/>
                <w:szCs w:val="16"/>
              </w:rPr>
              <w:t>Лужки 1973 г.*</w:t>
            </w:r>
          </w:p>
        </w:tc>
        <w:tc>
          <w:tcPr>
            <w:tcW w:w="1524" w:type="dxa"/>
            <w:shd w:val="pct20" w:color="000000" w:fill="FFFFFF"/>
          </w:tcPr>
          <w:p w14:paraId="2BF05F6A" w14:textId="77777777" w:rsidR="00CD484C" w:rsidRDefault="00CD484C">
            <w:pPr>
              <w:jc w:val="center"/>
              <w:rPr>
                <w:sz w:val="18"/>
                <w:szCs w:val="16"/>
              </w:rPr>
            </w:pPr>
            <w:r>
              <w:rPr>
                <w:sz w:val="18"/>
                <w:szCs w:val="16"/>
              </w:rPr>
              <w:t>10,75</w:t>
            </w:r>
          </w:p>
        </w:tc>
        <w:tc>
          <w:tcPr>
            <w:tcW w:w="1076" w:type="dxa"/>
            <w:shd w:val="pct20" w:color="000000" w:fill="FFFFFF"/>
          </w:tcPr>
          <w:p w14:paraId="3F893AB4" w14:textId="77777777" w:rsidR="00CD484C" w:rsidRDefault="00CD484C">
            <w:pPr>
              <w:jc w:val="center"/>
              <w:rPr>
                <w:sz w:val="18"/>
                <w:szCs w:val="16"/>
              </w:rPr>
            </w:pPr>
            <w:r>
              <w:rPr>
                <w:sz w:val="18"/>
                <w:szCs w:val="16"/>
              </w:rPr>
              <w:t>1,93</w:t>
            </w:r>
          </w:p>
        </w:tc>
        <w:tc>
          <w:tcPr>
            <w:tcW w:w="1971" w:type="dxa"/>
            <w:shd w:val="pct20" w:color="000000" w:fill="FFFFFF"/>
          </w:tcPr>
          <w:p w14:paraId="0E9DD307" w14:textId="77777777" w:rsidR="00CD484C" w:rsidRDefault="00CD484C">
            <w:pPr>
              <w:jc w:val="center"/>
              <w:rPr>
                <w:sz w:val="18"/>
                <w:szCs w:val="16"/>
              </w:rPr>
            </w:pPr>
            <w:r>
              <w:rPr>
                <w:sz w:val="18"/>
                <w:szCs w:val="16"/>
              </w:rPr>
              <w:t>9,3</w:t>
            </w:r>
          </w:p>
        </w:tc>
      </w:tr>
      <w:tr w:rsidR="00CD484C" w14:paraId="17400BEF" w14:textId="77777777">
        <w:trPr>
          <w:trHeight w:val="270"/>
        </w:trPr>
        <w:tc>
          <w:tcPr>
            <w:tcW w:w="1831" w:type="dxa"/>
            <w:shd w:val="pct5" w:color="000000" w:fill="FFFFFF"/>
          </w:tcPr>
          <w:p w14:paraId="633893C4" w14:textId="77777777" w:rsidR="00CD484C" w:rsidRDefault="00CD484C">
            <w:pPr>
              <w:jc w:val="both"/>
              <w:rPr>
                <w:sz w:val="18"/>
                <w:szCs w:val="16"/>
              </w:rPr>
            </w:pPr>
            <w:r>
              <w:rPr>
                <w:sz w:val="18"/>
                <w:szCs w:val="16"/>
              </w:rPr>
              <w:t xml:space="preserve">Алтынтепа </w:t>
            </w:r>
          </w:p>
          <w:p w14:paraId="0C89AC7C" w14:textId="77777777" w:rsidR="00CD484C" w:rsidRDefault="00CD484C">
            <w:pPr>
              <w:jc w:val="both"/>
              <w:rPr>
                <w:sz w:val="18"/>
                <w:szCs w:val="16"/>
              </w:rPr>
            </w:pPr>
            <w:r>
              <w:rPr>
                <w:sz w:val="18"/>
                <w:szCs w:val="16"/>
              </w:rPr>
              <w:t>1975 г.**</w:t>
            </w:r>
          </w:p>
        </w:tc>
        <w:tc>
          <w:tcPr>
            <w:tcW w:w="1524" w:type="dxa"/>
            <w:shd w:val="pct5" w:color="000000" w:fill="FFFFFF"/>
          </w:tcPr>
          <w:p w14:paraId="18AAC234" w14:textId="77777777" w:rsidR="00CD484C" w:rsidRDefault="00CD484C">
            <w:pPr>
              <w:jc w:val="center"/>
              <w:rPr>
                <w:sz w:val="18"/>
                <w:szCs w:val="16"/>
              </w:rPr>
            </w:pPr>
            <w:r>
              <w:rPr>
                <w:sz w:val="18"/>
                <w:szCs w:val="16"/>
              </w:rPr>
              <w:t>7,6</w:t>
            </w:r>
          </w:p>
        </w:tc>
        <w:tc>
          <w:tcPr>
            <w:tcW w:w="1076" w:type="dxa"/>
            <w:shd w:val="pct5" w:color="000000" w:fill="FFFFFF"/>
          </w:tcPr>
          <w:p w14:paraId="69E8FE5C" w14:textId="77777777" w:rsidR="00CD484C" w:rsidRDefault="00CD484C">
            <w:pPr>
              <w:jc w:val="center"/>
              <w:rPr>
                <w:sz w:val="18"/>
                <w:szCs w:val="16"/>
              </w:rPr>
            </w:pPr>
            <w:r>
              <w:rPr>
                <w:sz w:val="18"/>
                <w:szCs w:val="16"/>
              </w:rPr>
              <w:t>2,16</w:t>
            </w:r>
          </w:p>
        </w:tc>
        <w:tc>
          <w:tcPr>
            <w:tcW w:w="1971" w:type="dxa"/>
            <w:shd w:val="pct5" w:color="000000" w:fill="FFFFFF"/>
          </w:tcPr>
          <w:p w14:paraId="2A72F57A" w14:textId="77777777" w:rsidR="00CD484C" w:rsidRDefault="00CD484C">
            <w:pPr>
              <w:jc w:val="center"/>
              <w:rPr>
                <w:sz w:val="18"/>
                <w:szCs w:val="16"/>
              </w:rPr>
            </w:pPr>
            <w:r>
              <w:rPr>
                <w:sz w:val="18"/>
                <w:szCs w:val="16"/>
              </w:rPr>
              <w:t>8,05</w:t>
            </w:r>
          </w:p>
        </w:tc>
      </w:tr>
    </w:tbl>
    <w:p w14:paraId="0F1695A9" w14:textId="77777777" w:rsidR="00CD484C" w:rsidRDefault="00CD484C">
      <w:pPr>
        <w:jc w:val="both"/>
        <w:rPr>
          <w:sz w:val="10"/>
          <w:szCs w:val="16"/>
        </w:rPr>
      </w:pPr>
    </w:p>
    <w:p w14:paraId="707832F5" w14:textId="77777777" w:rsidR="00CD484C" w:rsidRDefault="00CD484C">
      <w:pPr>
        <w:jc w:val="both"/>
        <w:rPr>
          <w:sz w:val="18"/>
          <w:szCs w:val="16"/>
        </w:rPr>
      </w:pPr>
      <w:r>
        <w:rPr>
          <w:sz w:val="18"/>
          <w:szCs w:val="16"/>
        </w:rPr>
        <w:t>* учитываются 163 музейные монеты.</w:t>
      </w:r>
    </w:p>
    <w:p w14:paraId="4E47D48B" w14:textId="77777777" w:rsidR="00CD484C" w:rsidRDefault="00CD484C">
      <w:pPr>
        <w:jc w:val="both"/>
        <w:rPr>
          <w:sz w:val="18"/>
          <w:szCs w:val="16"/>
        </w:rPr>
      </w:pPr>
      <w:r>
        <w:rPr>
          <w:sz w:val="18"/>
          <w:szCs w:val="16"/>
        </w:rPr>
        <w:t>** по кладу Алтынтепа распределение осуществлено по трем младшим ХГ.</w:t>
      </w:r>
    </w:p>
    <w:p w14:paraId="34B1B5EF" w14:textId="77777777" w:rsidR="00CD484C" w:rsidRDefault="00CD484C">
      <w:pPr>
        <w:ind w:firstLine="397"/>
        <w:jc w:val="both"/>
        <w:rPr>
          <w:sz w:val="10"/>
          <w:szCs w:val="16"/>
        </w:rPr>
      </w:pPr>
    </w:p>
    <w:p w14:paraId="209D58B5" w14:textId="75742AB3" w:rsidR="00CD484C" w:rsidRDefault="00CD484C">
      <w:pPr>
        <w:ind w:firstLine="397"/>
        <w:jc w:val="both"/>
        <w:rPr>
          <w:spacing w:val="2"/>
          <w:sz w:val="20"/>
          <w:szCs w:val="16"/>
        </w:rPr>
      </w:pPr>
      <w:r>
        <w:rPr>
          <w:spacing w:val="2"/>
          <w:sz w:val="20"/>
          <w:szCs w:val="16"/>
        </w:rPr>
        <w:t>Анализ данных показывает, что монета Андераба распределялась неравномерно, причем, относительно меньше всего их отложилось в кладе Лужки 1973 г. Содержание монет Андераба не зависит от соотношения монет аш-Шаш – Самарканд. Близкое содержание монет данного эмиссионного центра в кладах Казанской губ. 1840 г. и Муром 1868 г. позволяет сделать предположение, состоящее в том, что они взаимозависимы. Это подтверждает и близкие показатели суммарное соотношение суммы монет аш-Шаш-Самарканд в названных кладах к числу андерабских монет. Вместе с тем, близкие по значение показатели кладов Алтынтепа и Богдановского позволяют выявить их взаимосвязь, что в свою очередь наталкивает на мысль о возможной прямых контактов населения средней Камы и Прикамья с Маверанахром. А существенное превалирование младшей ХГ в данном памятнике позволяет говорить о существовании транзитного монетного потока арабского  дирхема вверх по Каме в Зауралье</w:t>
      </w:r>
      <w:r>
        <w:rPr>
          <w:rStyle w:val="a6"/>
          <w:spacing w:val="2"/>
          <w:sz w:val="20"/>
          <w:szCs w:val="16"/>
        </w:rPr>
        <w:footnoteReference w:customMarkFollows="1" w:id="39"/>
        <w:t>15</w:t>
      </w:r>
      <w:r>
        <w:rPr>
          <w:spacing w:val="2"/>
          <w:sz w:val="20"/>
          <w:szCs w:val="16"/>
        </w:rPr>
        <w:t xml:space="preserve">. В </w:t>
      </w:r>
      <w:r>
        <w:rPr>
          <w:spacing w:val="2"/>
          <w:sz w:val="20"/>
          <w:szCs w:val="16"/>
        </w:rPr>
        <w:lastRenderedPageBreak/>
        <w:t>качестве аргумента в пользу данного предполо</w:t>
      </w:r>
      <w:r w:rsidR="00395416">
        <w:rPr>
          <w:noProof/>
          <w:spacing w:val="2"/>
          <w:sz w:val="20"/>
          <w:szCs w:val="16"/>
        </w:rPr>
        <mc:AlternateContent>
          <mc:Choice Requires="wps">
            <w:drawing>
              <wp:anchor distT="0" distB="0" distL="114300" distR="114300" simplePos="0" relativeHeight="251647488" behindDoc="0" locked="1" layoutInCell="1" allowOverlap="1" wp14:anchorId="2BB63ACA" wp14:editId="3683B2EE">
                <wp:simplePos x="0" y="0"/>
                <wp:positionH relativeFrom="column">
                  <wp:posOffset>0</wp:posOffset>
                </wp:positionH>
                <wp:positionV relativeFrom="paragraph">
                  <wp:posOffset>-252730</wp:posOffset>
                </wp:positionV>
                <wp:extent cx="4095750" cy="186690"/>
                <wp:effectExtent l="0" t="0" r="2540" b="0"/>
                <wp:wrapNone/>
                <wp:docPr id="257088679"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E5E1DD"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2816BA9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63ACA" id="Text Box 204" o:spid="_x0000_s1053" type="#_x0000_t202" style="position:absolute;left:0;text-align:left;margin-left:0;margin-top:-19.9pt;width:322.5pt;height:14.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0/PoN7wEAAMIDAAAOAAAAAAAAAAAAAAAAAC4CAABkcnMvZTJv&#10;RG9jLnhtbFBLAQItABQABgAIAAAAIQCnTgMH3gAAAAgBAAAPAAAAAAAAAAAAAAAAAEkEAABkcnMv&#10;ZG93bnJldi54bWxQSwUGAAAAAAQABADzAAAAVAUAAAAA&#10;" stroked="f">
                <v:textbox inset="0,0,0,0">
                  <w:txbxContent>
                    <w:p w14:paraId="62E5E1DD"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2816BA99" w14:textId="77777777" w:rsidR="00AE2133" w:rsidRDefault="00AE2133">
                      <w:pPr>
                        <w:rPr>
                          <w:b/>
                          <w:bCs/>
                          <w:sz w:val="2"/>
                          <w:u w:val="single"/>
                        </w:rPr>
                      </w:pPr>
                    </w:p>
                  </w:txbxContent>
                </v:textbox>
                <w10:anchorlock/>
              </v:shape>
            </w:pict>
          </mc:Fallback>
        </mc:AlternateContent>
      </w:r>
      <w:r>
        <w:rPr>
          <w:spacing w:val="2"/>
          <w:sz w:val="20"/>
          <w:szCs w:val="16"/>
        </w:rPr>
        <w:t>жения можно привести блюдо с избражением взятия крепости из клада 1909 г., найденное у д. Больше-Аниковская Чердыньского у. Пермской губ. Оно, согласно Г.А. Пугаченковой, В.П. Даркевичу и Б.И. Маршаку, происходит из Центральной Азии и датируется IX–Х в. (Даркевич В.П., 1976. – С. 28–29). Сюда же следует отнести и клад  куфических монет Х в., происходящего из д. Дюсяково, что на р. Деке Уфимской губернии 1874 г. (Марков А.К., 1910, 52. № 300)</w:t>
      </w:r>
      <w:r>
        <w:rPr>
          <w:rStyle w:val="a6"/>
          <w:spacing w:val="2"/>
          <w:sz w:val="20"/>
          <w:szCs w:val="16"/>
        </w:rPr>
        <w:footnoteReference w:customMarkFollows="1" w:id="40"/>
        <w:t>16</w:t>
      </w:r>
      <w:r>
        <w:rPr>
          <w:spacing w:val="2"/>
          <w:sz w:val="20"/>
          <w:szCs w:val="16"/>
        </w:rPr>
        <w:t xml:space="preserve">. И, наконец, следует остановиться на мысли о том, что монета чекан Андераба могла проследовать в Европу только в комплексе с дирхемами Маверанахра. В этой связи, думается, не будет ошибкой утверждать, что клад, происходящий из Казанской губернии 1840 г., содержащий абсолютное большинство ташкентских дирхемов исмаили, поступил из основного места чеканки – аш-Шаша – непосредственно на среднюю Волгу. </w:t>
      </w:r>
    </w:p>
    <w:p w14:paraId="4F60EB26" w14:textId="77777777" w:rsidR="00CD484C" w:rsidRDefault="00CD484C">
      <w:pPr>
        <w:pStyle w:val="a7"/>
        <w:ind w:firstLine="397"/>
        <w:rPr>
          <w:sz w:val="20"/>
          <w:szCs w:val="16"/>
          <w:lang w:val="ru-RU"/>
        </w:rPr>
      </w:pPr>
      <w:r>
        <w:rPr>
          <w:sz w:val="20"/>
          <w:szCs w:val="16"/>
          <w:lang w:val="ru-RU"/>
        </w:rPr>
        <w:t>Чтобы не показаться голословным, сопоставим эмиссионные распределения  клада 1840 г. из Казанской губернии и Лужковского клада из Московской области 1973 г. (Рис. 3 и 8), откуда видна их  однотипность графического отображения, основанная на том, абсолютном превалировании монет ташкентской эмиссии, которая отложилась в кладах – ее процент составляет 53 в кладе 1840 г. и 56 – в кладе из Московской области. При этом обращает внимание, что во всех рассмотренных кладах, выпавших во втором десятилетии Х в. процент монет самаркандской эмиссии составлял 28 (табл. 6), что позволяет утверждать о стабильном участии самаркандской чеканки в монетном потоке, распространявшегося через среднюю Волгу.</w:t>
      </w:r>
    </w:p>
    <w:p w14:paraId="5429F103" w14:textId="77777777" w:rsidR="00CD484C" w:rsidRDefault="00CD484C">
      <w:pPr>
        <w:pStyle w:val="a7"/>
        <w:ind w:firstLine="397"/>
        <w:rPr>
          <w:sz w:val="20"/>
          <w:szCs w:val="16"/>
          <w:lang w:val="ru-RU"/>
        </w:rPr>
      </w:pPr>
    </w:p>
    <w:p w14:paraId="680FE29E" w14:textId="77777777" w:rsidR="00CD484C" w:rsidRDefault="00CD484C">
      <w:pPr>
        <w:ind w:firstLine="397"/>
        <w:jc w:val="right"/>
        <w:rPr>
          <w:i/>
          <w:iCs/>
          <w:sz w:val="20"/>
          <w:szCs w:val="16"/>
        </w:rPr>
      </w:pPr>
      <w:r>
        <w:rPr>
          <w:i/>
          <w:iCs/>
          <w:sz w:val="20"/>
          <w:szCs w:val="16"/>
        </w:rPr>
        <w:t xml:space="preserve">Таблица 6 </w:t>
      </w:r>
    </w:p>
    <w:p w14:paraId="4475C222" w14:textId="77777777" w:rsidR="00CD484C" w:rsidRDefault="00CD484C">
      <w:pPr>
        <w:spacing w:after="120"/>
        <w:jc w:val="center"/>
        <w:rPr>
          <w:b/>
          <w:bCs/>
          <w:sz w:val="20"/>
          <w:szCs w:val="16"/>
        </w:rPr>
      </w:pPr>
      <w:r>
        <w:rPr>
          <w:b/>
          <w:bCs/>
          <w:sz w:val="20"/>
          <w:szCs w:val="16"/>
        </w:rPr>
        <w:t xml:space="preserve">Эмиссионное распределение кладов куфических монет </w:t>
      </w:r>
      <w:r>
        <w:rPr>
          <w:b/>
          <w:bCs/>
          <w:sz w:val="20"/>
          <w:szCs w:val="16"/>
        </w:rPr>
        <w:br/>
        <w:t>второго десятилетия Х в. (процентные соотношения)</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180"/>
        <w:gridCol w:w="1059"/>
        <w:gridCol w:w="1248"/>
        <w:gridCol w:w="1923"/>
      </w:tblGrid>
      <w:tr w:rsidR="00CD484C" w14:paraId="5C7DC28E" w14:textId="77777777">
        <w:trPr>
          <w:trHeight w:val="387"/>
          <w:jc w:val="center"/>
        </w:trPr>
        <w:tc>
          <w:tcPr>
            <w:tcW w:w="2180" w:type="dxa"/>
            <w:tcBorders>
              <w:bottom w:val="single" w:sz="12" w:space="0" w:color="000000"/>
            </w:tcBorders>
            <w:vAlign w:val="center"/>
          </w:tcPr>
          <w:p w14:paraId="74A55A0E" w14:textId="77777777" w:rsidR="00CD484C" w:rsidRDefault="00CD484C">
            <w:pPr>
              <w:jc w:val="both"/>
              <w:rPr>
                <w:sz w:val="18"/>
                <w:szCs w:val="16"/>
              </w:rPr>
            </w:pPr>
            <w:r>
              <w:rPr>
                <w:sz w:val="18"/>
                <w:szCs w:val="16"/>
              </w:rPr>
              <w:t>Клады</w:t>
            </w:r>
          </w:p>
        </w:tc>
        <w:tc>
          <w:tcPr>
            <w:tcW w:w="1059" w:type="dxa"/>
            <w:tcBorders>
              <w:bottom w:val="single" w:sz="12" w:space="0" w:color="000000"/>
            </w:tcBorders>
            <w:vAlign w:val="center"/>
          </w:tcPr>
          <w:p w14:paraId="067CC4C6" w14:textId="77777777" w:rsidR="00CD484C" w:rsidRDefault="00CD484C">
            <w:pPr>
              <w:jc w:val="center"/>
              <w:rPr>
                <w:sz w:val="18"/>
                <w:szCs w:val="16"/>
              </w:rPr>
            </w:pPr>
            <w:r>
              <w:rPr>
                <w:sz w:val="18"/>
                <w:szCs w:val="16"/>
              </w:rPr>
              <w:t>Аш-Шаш</w:t>
            </w:r>
          </w:p>
        </w:tc>
        <w:tc>
          <w:tcPr>
            <w:tcW w:w="1248" w:type="dxa"/>
            <w:tcBorders>
              <w:bottom w:val="single" w:sz="12" w:space="0" w:color="000000"/>
            </w:tcBorders>
            <w:vAlign w:val="center"/>
          </w:tcPr>
          <w:p w14:paraId="7B9592CD" w14:textId="77777777" w:rsidR="00CD484C" w:rsidRDefault="00CD484C">
            <w:pPr>
              <w:jc w:val="center"/>
              <w:rPr>
                <w:sz w:val="18"/>
                <w:szCs w:val="16"/>
              </w:rPr>
            </w:pPr>
            <w:r>
              <w:rPr>
                <w:sz w:val="18"/>
                <w:szCs w:val="16"/>
              </w:rPr>
              <w:t>Самарканд</w:t>
            </w:r>
          </w:p>
        </w:tc>
        <w:tc>
          <w:tcPr>
            <w:tcW w:w="1923" w:type="dxa"/>
            <w:tcBorders>
              <w:bottom w:val="single" w:sz="12" w:space="0" w:color="000000"/>
            </w:tcBorders>
            <w:vAlign w:val="center"/>
          </w:tcPr>
          <w:p w14:paraId="342DCF7D" w14:textId="77777777" w:rsidR="00CD484C" w:rsidRDefault="00CD484C">
            <w:pPr>
              <w:jc w:val="center"/>
              <w:rPr>
                <w:sz w:val="18"/>
                <w:szCs w:val="16"/>
              </w:rPr>
            </w:pPr>
            <w:r>
              <w:rPr>
                <w:sz w:val="18"/>
                <w:szCs w:val="16"/>
              </w:rPr>
              <w:t>Андераб, Балх и др.</w:t>
            </w:r>
          </w:p>
        </w:tc>
      </w:tr>
      <w:tr w:rsidR="00CD484C" w14:paraId="3A017B71" w14:textId="77777777">
        <w:trPr>
          <w:trHeight w:val="387"/>
          <w:jc w:val="center"/>
        </w:trPr>
        <w:tc>
          <w:tcPr>
            <w:tcW w:w="2180" w:type="dxa"/>
            <w:tcBorders>
              <w:top w:val="nil"/>
            </w:tcBorders>
            <w:vAlign w:val="center"/>
          </w:tcPr>
          <w:p w14:paraId="5F9D9AC0" w14:textId="77777777" w:rsidR="00CD484C" w:rsidRDefault="00CD484C">
            <w:pPr>
              <w:jc w:val="both"/>
              <w:rPr>
                <w:sz w:val="18"/>
                <w:szCs w:val="16"/>
              </w:rPr>
            </w:pPr>
            <w:r>
              <w:rPr>
                <w:sz w:val="18"/>
                <w:szCs w:val="16"/>
              </w:rPr>
              <w:t>Богдановский 1885 г.</w:t>
            </w:r>
          </w:p>
        </w:tc>
        <w:tc>
          <w:tcPr>
            <w:tcW w:w="1059" w:type="dxa"/>
            <w:tcBorders>
              <w:top w:val="nil"/>
            </w:tcBorders>
            <w:vAlign w:val="center"/>
          </w:tcPr>
          <w:p w14:paraId="3C46976F" w14:textId="77777777" w:rsidR="00CD484C" w:rsidRDefault="00CD484C">
            <w:pPr>
              <w:jc w:val="center"/>
              <w:rPr>
                <w:b/>
                <w:sz w:val="18"/>
                <w:szCs w:val="16"/>
              </w:rPr>
            </w:pPr>
            <w:r>
              <w:rPr>
                <w:b/>
                <w:sz w:val="18"/>
                <w:szCs w:val="16"/>
              </w:rPr>
              <w:t>45</w:t>
            </w:r>
          </w:p>
        </w:tc>
        <w:tc>
          <w:tcPr>
            <w:tcW w:w="1248" w:type="dxa"/>
            <w:tcBorders>
              <w:top w:val="nil"/>
            </w:tcBorders>
            <w:vAlign w:val="center"/>
          </w:tcPr>
          <w:p w14:paraId="7B2C5570" w14:textId="77777777" w:rsidR="00CD484C" w:rsidRDefault="00CD484C">
            <w:pPr>
              <w:jc w:val="center"/>
              <w:rPr>
                <w:b/>
                <w:sz w:val="18"/>
                <w:szCs w:val="16"/>
              </w:rPr>
            </w:pPr>
            <w:r>
              <w:rPr>
                <w:b/>
                <w:sz w:val="18"/>
                <w:szCs w:val="16"/>
              </w:rPr>
              <w:t>28</w:t>
            </w:r>
          </w:p>
        </w:tc>
        <w:tc>
          <w:tcPr>
            <w:tcW w:w="1923" w:type="dxa"/>
            <w:tcBorders>
              <w:top w:val="nil"/>
            </w:tcBorders>
            <w:vAlign w:val="center"/>
          </w:tcPr>
          <w:p w14:paraId="6ED69AE7" w14:textId="77777777" w:rsidR="00CD484C" w:rsidRDefault="00CD484C">
            <w:pPr>
              <w:jc w:val="center"/>
              <w:rPr>
                <w:b/>
                <w:sz w:val="18"/>
                <w:szCs w:val="16"/>
              </w:rPr>
            </w:pPr>
            <w:r>
              <w:rPr>
                <w:b/>
                <w:sz w:val="18"/>
                <w:szCs w:val="16"/>
              </w:rPr>
              <w:t>27</w:t>
            </w:r>
          </w:p>
        </w:tc>
      </w:tr>
      <w:tr w:rsidR="00CD484C" w14:paraId="0317DAE6" w14:textId="77777777">
        <w:trPr>
          <w:trHeight w:val="187"/>
          <w:jc w:val="center"/>
        </w:trPr>
        <w:tc>
          <w:tcPr>
            <w:tcW w:w="2180" w:type="dxa"/>
            <w:vAlign w:val="center"/>
          </w:tcPr>
          <w:p w14:paraId="65E96AB3" w14:textId="77777777" w:rsidR="00CD484C" w:rsidRDefault="00CD484C">
            <w:pPr>
              <w:jc w:val="both"/>
              <w:rPr>
                <w:sz w:val="18"/>
                <w:szCs w:val="16"/>
              </w:rPr>
            </w:pPr>
            <w:r>
              <w:rPr>
                <w:sz w:val="18"/>
                <w:szCs w:val="16"/>
              </w:rPr>
              <w:t>Казанск.губ.1840 г.</w:t>
            </w:r>
          </w:p>
        </w:tc>
        <w:tc>
          <w:tcPr>
            <w:tcW w:w="1059" w:type="dxa"/>
            <w:vAlign w:val="center"/>
          </w:tcPr>
          <w:p w14:paraId="46AF4E43" w14:textId="77777777" w:rsidR="00CD484C" w:rsidRDefault="00CD484C">
            <w:pPr>
              <w:jc w:val="center"/>
              <w:rPr>
                <w:b/>
                <w:sz w:val="18"/>
                <w:szCs w:val="16"/>
              </w:rPr>
            </w:pPr>
            <w:r>
              <w:rPr>
                <w:b/>
                <w:sz w:val="18"/>
                <w:szCs w:val="16"/>
              </w:rPr>
              <w:t>56</w:t>
            </w:r>
          </w:p>
        </w:tc>
        <w:tc>
          <w:tcPr>
            <w:tcW w:w="1248" w:type="dxa"/>
            <w:vAlign w:val="center"/>
          </w:tcPr>
          <w:p w14:paraId="4E5A3622" w14:textId="77777777" w:rsidR="00CD484C" w:rsidRDefault="00CD484C">
            <w:pPr>
              <w:jc w:val="center"/>
              <w:rPr>
                <w:b/>
                <w:sz w:val="18"/>
                <w:szCs w:val="16"/>
              </w:rPr>
            </w:pPr>
            <w:r>
              <w:rPr>
                <w:b/>
                <w:sz w:val="18"/>
                <w:szCs w:val="16"/>
              </w:rPr>
              <w:t>28</w:t>
            </w:r>
          </w:p>
        </w:tc>
        <w:tc>
          <w:tcPr>
            <w:tcW w:w="1923" w:type="dxa"/>
            <w:vAlign w:val="center"/>
          </w:tcPr>
          <w:p w14:paraId="75DB8F5D" w14:textId="77777777" w:rsidR="00CD484C" w:rsidRDefault="00CD484C">
            <w:pPr>
              <w:jc w:val="center"/>
              <w:rPr>
                <w:b/>
                <w:sz w:val="18"/>
                <w:szCs w:val="16"/>
              </w:rPr>
            </w:pPr>
            <w:r>
              <w:rPr>
                <w:b/>
                <w:sz w:val="18"/>
                <w:szCs w:val="16"/>
              </w:rPr>
              <w:t>16</w:t>
            </w:r>
          </w:p>
        </w:tc>
      </w:tr>
      <w:tr w:rsidR="00CD484C" w14:paraId="040E7F23" w14:textId="77777777">
        <w:trPr>
          <w:trHeight w:val="387"/>
          <w:jc w:val="center"/>
        </w:trPr>
        <w:tc>
          <w:tcPr>
            <w:tcW w:w="2180" w:type="dxa"/>
            <w:vAlign w:val="center"/>
          </w:tcPr>
          <w:p w14:paraId="453563A0" w14:textId="77777777" w:rsidR="00CD484C" w:rsidRDefault="00CD484C">
            <w:pPr>
              <w:jc w:val="both"/>
              <w:rPr>
                <w:sz w:val="18"/>
                <w:szCs w:val="16"/>
              </w:rPr>
            </w:pPr>
            <w:r>
              <w:rPr>
                <w:sz w:val="18"/>
                <w:szCs w:val="16"/>
              </w:rPr>
              <w:t>Лужки  Моск.обл.1973 г.</w:t>
            </w:r>
          </w:p>
        </w:tc>
        <w:tc>
          <w:tcPr>
            <w:tcW w:w="1059" w:type="dxa"/>
            <w:vAlign w:val="center"/>
          </w:tcPr>
          <w:p w14:paraId="2C3BC234" w14:textId="77777777" w:rsidR="00CD484C" w:rsidRDefault="00CD484C">
            <w:pPr>
              <w:jc w:val="center"/>
              <w:rPr>
                <w:b/>
                <w:sz w:val="18"/>
                <w:szCs w:val="16"/>
              </w:rPr>
            </w:pPr>
            <w:r>
              <w:rPr>
                <w:b/>
                <w:sz w:val="18"/>
                <w:szCs w:val="16"/>
              </w:rPr>
              <w:t>53</w:t>
            </w:r>
          </w:p>
        </w:tc>
        <w:tc>
          <w:tcPr>
            <w:tcW w:w="1248" w:type="dxa"/>
            <w:vAlign w:val="center"/>
          </w:tcPr>
          <w:p w14:paraId="0B95FD8A" w14:textId="77777777" w:rsidR="00CD484C" w:rsidRDefault="00CD484C">
            <w:pPr>
              <w:jc w:val="center"/>
              <w:rPr>
                <w:b/>
                <w:sz w:val="18"/>
                <w:szCs w:val="16"/>
              </w:rPr>
            </w:pPr>
            <w:r>
              <w:rPr>
                <w:b/>
                <w:sz w:val="18"/>
                <w:szCs w:val="16"/>
              </w:rPr>
              <w:t>28</w:t>
            </w:r>
          </w:p>
        </w:tc>
        <w:tc>
          <w:tcPr>
            <w:tcW w:w="1923" w:type="dxa"/>
            <w:vAlign w:val="center"/>
          </w:tcPr>
          <w:p w14:paraId="142C56E6" w14:textId="77777777" w:rsidR="00CD484C" w:rsidRDefault="00CD484C">
            <w:pPr>
              <w:jc w:val="center"/>
              <w:rPr>
                <w:b/>
                <w:sz w:val="18"/>
                <w:szCs w:val="16"/>
              </w:rPr>
            </w:pPr>
            <w:r>
              <w:rPr>
                <w:b/>
                <w:sz w:val="18"/>
                <w:szCs w:val="16"/>
              </w:rPr>
              <w:t>19</w:t>
            </w:r>
          </w:p>
        </w:tc>
      </w:tr>
    </w:tbl>
    <w:p w14:paraId="3B30236D" w14:textId="77777777" w:rsidR="00CD484C" w:rsidRDefault="00CD484C">
      <w:pPr>
        <w:ind w:firstLine="397"/>
        <w:jc w:val="both"/>
        <w:rPr>
          <w:sz w:val="20"/>
          <w:szCs w:val="16"/>
        </w:rPr>
      </w:pPr>
    </w:p>
    <w:p w14:paraId="40CBF1E7" w14:textId="77777777" w:rsidR="00CD484C" w:rsidRDefault="00CD484C">
      <w:pPr>
        <w:ind w:firstLine="397"/>
        <w:jc w:val="both"/>
        <w:rPr>
          <w:sz w:val="20"/>
          <w:szCs w:val="16"/>
        </w:rPr>
      </w:pPr>
      <w:r>
        <w:rPr>
          <w:sz w:val="20"/>
          <w:szCs w:val="16"/>
        </w:rPr>
        <w:t xml:space="preserve">Выше уже отмечалось наличие в Богдановском кладе 1885 г. дирхема Бухары 294 г.х. Такая же монета есть и в Муромском кладе (Марков А.К., </w:t>
      </w:r>
      <w:r>
        <w:rPr>
          <w:sz w:val="20"/>
          <w:szCs w:val="16"/>
        </w:rPr>
        <w:lastRenderedPageBreak/>
        <w:t>1910. – С. 5. № 28; РА ИИМК, ф.1 Ф.1, 1888. Д.14. № 211, л.18 об.), что предполагает специальное изучение начальной эмиссии данного монетного двора и в нашу задачу не входит. Сделаем попытку выяснить роль начального чекана Бухары в распределениях кладовых комплексов Европы. Выборка по признаку «чекан Бухары» показывает наличие двух коротких периода, хронологически разнесенных по времени 100-летним диапазоном: 193–195 г.х. и 293–295 г.х., исключая, конечно, период интенсивной чеканки середины – конца IV в.х. Самые ранние монеты чекана Бухары и наиболее удаленные от места чеканки дирхемы, зафиксированные в кладах Европы, имеют дату 193 г.х. Одна находка сделана в Новгородской губернии, другая монета отложилась в кладе, найденном близ польского города Штетин (Щецин) (Марков А.К., 1910. – с. 28, № 153; с. 127, №.41). Не касаясь причин эмиссии бухарского монетного двора в столь разное время, следует заметить, что данные монеты представляют собой великолепные индикаторы изучения кладов, поскольку, многие из них описаны А.К. Марковым (со ссылкой на источник) обобщенно. Хотя понятно, что монеты Бухары 193–195 г.х. присутствуют в кладах первой четверти – середины IX в., тогда как вторая эмиссия Бухары датируют клады первой четверти – середины Х в. Если рассматривать позицию 293–295 г.х., то при анализе, приведенного в данном очерке материала, можно сделать вероятностное предположение, которое состоит в том, что эмиссионное составы кладов с бухарской монетой 294 г. (имеющаяся в составе кладов Муром и Богдановский) несут на себе типологическую нагрузку. Примером тому может служить клад Балымеры 1890 г. Спасского у. Казанской губ., о котором нумизматика имеет самые отрывочные сведения  (Марков А.К., 1910. – С. 11. № 58). Наличие монеты-индикатора 294 г.х. чекан Бухары, позволяет утверждать, что его монетный состав аналогичен был составу Муромского клада 1868 г., разумеется, в своих процентных соотношениях династий.</w:t>
      </w:r>
    </w:p>
    <w:p w14:paraId="6B0BF492" w14:textId="363F3D85" w:rsidR="00CD484C" w:rsidRDefault="00CD484C">
      <w:pPr>
        <w:ind w:firstLine="397"/>
        <w:jc w:val="both"/>
        <w:rPr>
          <w:sz w:val="20"/>
          <w:szCs w:val="16"/>
        </w:rPr>
      </w:pPr>
      <w:r>
        <w:rPr>
          <w:sz w:val="20"/>
          <w:szCs w:val="16"/>
        </w:rPr>
        <w:t xml:space="preserve">Картографируя путь первой самой ранней бухарской монеты, выскажем предположение, что она транзитом прошла через среднюю Волгу и через верховья Днепра попала в Новгородскую землю и, также через верхний Днепр прошла в Померанию, где достигла южного берега Балтийского моря. Распространение монет Бухары 293–295 гг. выпуска было гораздо сложнее. Она отложилась в составе кладов на средней Волге и средней Каме, затем в районе впадения Оки в Волгу путь ее разделился: одни вывел ее в г. Муром, другой – на Волгу верхнюю. Откуда монета 293–295 гг. прошла транзитом через Восточную Прибалтику и выпала в составе кладов на о.Готланд, а также в Польше и Дании. Но, если на Готланде отмечено 6 пунктов находок бухарских дирхемов конца III в.х., то </w:t>
      </w:r>
      <w:r w:rsidR="00395416">
        <w:rPr>
          <w:noProof/>
          <w:sz w:val="20"/>
          <w:szCs w:val="16"/>
        </w:rPr>
        <mc:AlternateContent>
          <mc:Choice Requires="wps">
            <w:drawing>
              <wp:anchor distT="0" distB="0" distL="114300" distR="114300" simplePos="0" relativeHeight="251648512" behindDoc="0" locked="1" layoutInCell="1" allowOverlap="1" wp14:anchorId="08FA2F0D" wp14:editId="71466FE3">
                <wp:simplePos x="0" y="0"/>
                <wp:positionH relativeFrom="column">
                  <wp:posOffset>0</wp:posOffset>
                </wp:positionH>
                <wp:positionV relativeFrom="paragraph">
                  <wp:posOffset>-252730</wp:posOffset>
                </wp:positionV>
                <wp:extent cx="4095750" cy="186690"/>
                <wp:effectExtent l="0" t="2540" r="2540" b="1270"/>
                <wp:wrapNone/>
                <wp:docPr id="5835084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2F679"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2CE664E3"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A2F0D" id="Text Box 205" o:spid="_x0000_s1054" type="#_x0000_t202" style="position:absolute;left:0;text-align:left;margin-left:0;margin-top:-19.9pt;width:322.5pt;height:14.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3uBu+7wEAAMIDAAAOAAAAAAAAAAAAAAAAAC4CAABkcnMvZTJv&#10;RG9jLnhtbFBLAQItABQABgAIAAAAIQCnTgMH3gAAAAgBAAAPAAAAAAAAAAAAAAAAAEkEAABkcnMv&#10;ZG93bnJldi54bWxQSwUGAAAAAAQABADzAAAAVAUAAAAA&#10;" stroked="f">
                <v:textbox inset="0,0,0,0">
                  <w:txbxContent>
                    <w:p w14:paraId="3DF2F679"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2CE664E3" w14:textId="77777777" w:rsidR="00AE2133" w:rsidRDefault="00AE2133">
                      <w:pPr>
                        <w:rPr>
                          <w:b/>
                          <w:bCs/>
                          <w:sz w:val="2"/>
                          <w:u w:val="single"/>
                        </w:rPr>
                      </w:pPr>
                    </w:p>
                  </w:txbxContent>
                </v:textbox>
                <w10:anchorlock/>
              </v:shape>
            </w:pict>
          </mc:Fallback>
        </mc:AlternateContent>
      </w:r>
      <w:r>
        <w:rPr>
          <w:sz w:val="20"/>
          <w:szCs w:val="16"/>
        </w:rPr>
        <w:t xml:space="preserve">на южной Балтике только 2. Остается добавить, что соотношение эмиссии бухарского монетного двора 193–195 г.х. и 293–295 г.х. соотносится по их числу пунктов </w:t>
      </w:r>
      <w:r>
        <w:rPr>
          <w:sz w:val="20"/>
          <w:szCs w:val="16"/>
        </w:rPr>
        <w:lastRenderedPageBreak/>
        <w:t xml:space="preserve">находок  как 5 к 12. В Закавказье, по данным Е.А. Пахомова, бухарские монеты рассматриваемых периодов не поступали. </w:t>
      </w:r>
    </w:p>
    <w:p w14:paraId="44B27415" w14:textId="77777777" w:rsidR="00CD484C" w:rsidRDefault="00CD484C">
      <w:pPr>
        <w:ind w:firstLine="397"/>
        <w:jc w:val="both"/>
        <w:rPr>
          <w:spacing w:val="-2"/>
          <w:sz w:val="20"/>
          <w:szCs w:val="16"/>
        </w:rPr>
      </w:pPr>
      <w:r>
        <w:rPr>
          <w:spacing w:val="-2"/>
          <w:sz w:val="20"/>
          <w:szCs w:val="16"/>
        </w:rPr>
        <w:t>Поскольку, Богдановский и Муромский клады имеют одинаковые параметры: как-то соотношение чеканов аш-Шаш – Самарканд, вытекающие из идентичного эмиссионного распределения (рис. 5а, табл. 2, 3) в период, который соответствует хронологии Богдановского клада, т.е. 285–294 и 295–304 г.х., и оба они имеют эмиссионный маркер монету Бухару 294 г.х., то, сделаем попытку предположить, что описанные обобщенно в первой топографии кладов восточных монет готландские и один датский депозиты (Марков А.К., 1910. – С. 63–64. № 24; с. 70–71. № 94; с.73. № 106; № 107; с. 78. № 144; 103–104. № 12), в диапазоне Богдановского клада должны в своей саманидской составляющей иметь аналогичное ему эмиссионное распределение /Рис. 4/. В то же время, династийное распределение может соответствовать распределению Муромского клада. И, если учесть двукратное превалирование младшей ХГ над ХГ ей предшествующей в последних, то и графический абрис хронологического распределения западноевропейских кладов будет, по-видимому, аналогичным. Это будет означать, что депозиты в диапазоне Богдановского  с эмиссионным маркером дирхем Бухары 293, 294 или 295 г., выпали из потока, принесшего с собой депозиты типа Богдановского или Муромского</w:t>
      </w:r>
      <w:r>
        <w:rPr>
          <w:rStyle w:val="a6"/>
          <w:spacing w:val="-2"/>
          <w:sz w:val="20"/>
          <w:szCs w:val="16"/>
        </w:rPr>
        <w:footnoteReference w:customMarkFollows="1" w:id="41"/>
        <w:t>17</w:t>
      </w:r>
      <w:r>
        <w:rPr>
          <w:spacing w:val="-2"/>
          <w:sz w:val="20"/>
          <w:szCs w:val="16"/>
        </w:rPr>
        <w:t>.</w:t>
      </w:r>
    </w:p>
    <w:p w14:paraId="0D1C2AF7" w14:textId="77777777" w:rsidR="00CD484C" w:rsidRDefault="00CD484C">
      <w:pPr>
        <w:ind w:firstLine="397"/>
        <w:jc w:val="both"/>
        <w:rPr>
          <w:spacing w:val="-2"/>
          <w:sz w:val="20"/>
          <w:szCs w:val="16"/>
        </w:rPr>
      </w:pPr>
      <w:r>
        <w:rPr>
          <w:spacing w:val="-2"/>
          <w:sz w:val="20"/>
          <w:szCs w:val="16"/>
        </w:rPr>
        <w:t>В колоссальном по своему значению для европейской торговли  в второй полвины IX–X в. имел денежный рынок города Киева. И, естественно, что мощнейший всплеск чеканки саманидских монет конца IX – первой трети X в. не мог не отложиться в киевских нумизматических депозитах. Следует обратить внимание на крупнейший киевский депозит этого времени, найденный в 1851 г. (Марков А.К., 1910. – С. 13. № 68). Согласно «Топографии…» А.К. Маркова, клад имеет хронологический диапазон в 135 лет, что при наличии 2 или 3-х тысячного состава удивления вызвать не может. При отсечении старших монет, соответствующее методике обработки кладов, такой показатель как диапазон сужается до 48 лет, и это ставит данный памятник в ряд великолепных источников по русскому денежному обращению начала Х в., тем более, что науке известен его точный количественный состав. Рассматриваемый депозит состоит из двух тысяч куфических монет, младшая из которых отчеканена в 293/905 г., кроме того, в состав клада входит золотая гривна</w:t>
      </w:r>
      <w:r>
        <w:rPr>
          <w:rStyle w:val="a6"/>
          <w:spacing w:val="-2"/>
          <w:sz w:val="20"/>
          <w:szCs w:val="16"/>
        </w:rPr>
        <w:footnoteReference w:customMarkFollows="1" w:id="42"/>
        <w:t>18</w:t>
      </w:r>
      <w:r>
        <w:rPr>
          <w:spacing w:val="-2"/>
          <w:sz w:val="20"/>
          <w:szCs w:val="16"/>
        </w:rPr>
        <w:t xml:space="preserve">. Типологические построения и достижения в области изучения хронологических составов как русских, так и шведских кладов начала Х в. позволяют предположить, что данный депозит в своем </w:t>
      </w:r>
      <w:r>
        <w:rPr>
          <w:spacing w:val="-2"/>
          <w:sz w:val="20"/>
          <w:szCs w:val="16"/>
        </w:rPr>
        <w:lastRenderedPageBreak/>
        <w:t>графическом отображении может иметь превышение младшей ХГ над ей предшествующей. На подобное сопоставление наталкивает хронологическое распределение С. Болина другого киевского клада с датой ММ 935 г., осуществленное по 169 монетам, которое с 900 по 930-е годы демонстрирует непрерывное нарастание в своем процентном отношении саманидских дирхемов-исмаили в денежном обращении (Сойер П., 2002. – С. 298–299, табл. I), что происходит, как мы здесь установили, в кладах типа Муромского. /Рис. 5/. Использование распределений шведского нумизмата представляется уместным, поскольку накопление статистического материала в рассмотренных старших ХГ памятника происходило независимо от даты позднейшей монеты</w:t>
      </w:r>
      <w:r>
        <w:rPr>
          <w:rStyle w:val="a6"/>
          <w:spacing w:val="-2"/>
          <w:sz w:val="20"/>
          <w:szCs w:val="16"/>
        </w:rPr>
        <w:footnoteReference w:customMarkFollows="1" w:id="43"/>
        <w:t>19</w:t>
      </w:r>
      <w:r>
        <w:rPr>
          <w:spacing w:val="-2"/>
          <w:sz w:val="20"/>
          <w:szCs w:val="16"/>
        </w:rPr>
        <w:t xml:space="preserve">. </w:t>
      </w:r>
    </w:p>
    <w:p w14:paraId="0CA8F756" w14:textId="77777777" w:rsidR="00CD484C" w:rsidRDefault="00CD484C">
      <w:pPr>
        <w:ind w:firstLine="397"/>
        <w:jc w:val="both"/>
        <w:rPr>
          <w:sz w:val="12"/>
          <w:szCs w:val="16"/>
        </w:rPr>
      </w:pPr>
    </w:p>
    <w:p w14:paraId="49255B29" w14:textId="32D7BA81" w:rsidR="00CD484C" w:rsidRDefault="00395416">
      <w:pPr>
        <w:jc w:val="center"/>
        <w:rPr>
          <w:sz w:val="20"/>
          <w:szCs w:val="16"/>
        </w:rPr>
      </w:pPr>
      <w:r>
        <w:rPr>
          <w:noProof/>
          <w:sz w:val="20"/>
          <w:szCs w:val="16"/>
        </w:rPr>
        <w:drawing>
          <wp:inline distT="0" distB="0" distL="0" distR="0" wp14:anchorId="1D7D56A0" wp14:editId="1747A6D3">
            <wp:extent cx="3249295" cy="2427605"/>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270139" w14:textId="77777777" w:rsidR="00CD484C" w:rsidRDefault="00CD484C">
      <w:pPr>
        <w:ind w:firstLine="397"/>
        <w:jc w:val="center"/>
        <w:rPr>
          <w:i/>
          <w:iCs/>
          <w:sz w:val="12"/>
          <w:szCs w:val="16"/>
        </w:rPr>
      </w:pPr>
    </w:p>
    <w:p w14:paraId="2866AC91" w14:textId="77777777" w:rsidR="00CD484C" w:rsidRDefault="00CD484C">
      <w:pPr>
        <w:jc w:val="center"/>
        <w:rPr>
          <w:i/>
          <w:iCs/>
          <w:sz w:val="18"/>
          <w:szCs w:val="16"/>
        </w:rPr>
      </w:pPr>
      <w:r>
        <w:rPr>
          <w:b/>
          <w:bCs/>
          <w:i/>
          <w:iCs/>
          <w:sz w:val="18"/>
          <w:szCs w:val="16"/>
        </w:rPr>
        <w:t>Рис. 9.</w:t>
      </w:r>
      <w:r>
        <w:rPr>
          <w:i/>
          <w:iCs/>
          <w:sz w:val="18"/>
          <w:szCs w:val="16"/>
        </w:rPr>
        <w:t xml:space="preserve"> Клад Пальцево 1923 г. Хронолого-династийное распределение.</w:t>
      </w:r>
      <w:r>
        <w:rPr>
          <w:i/>
          <w:iCs/>
          <w:sz w:val="18"/>
          <w:szCs w:val="16"/>
        </w:rPr>
        <w:br/>
        <w:t>(257 монет по Р.К. Ковалеву)</w:t>
      </w:r>
    </w:p>
    <w:p w14:paraId="05F70DBF" w14:textId="77777777" w:rsidR="00CD484C" w:rsidRDefault="00CD484C">
      <w:pPr>
        <w:jc w:val="center"/>
        <w:rPr>
          <w:i/>
          <w:iCs/>
          <w:sz w:val="8"/>
          <w:szCs w:val="16"/>
        </w:rPr>
      </w:pPr>
    </w:p>
    <w:p w14:paraId="71D70E68" w14:textId="2D18CB5F" w:rsidR="00CD484C" w:rsidRDefault="00CD484C">
      <w:pPr>
        <w:ind w:firstLine="397"/>
        <w:jc w:val="both"/>
        <w:rPr>
          <w:spacing w:val="4"/>
          <w:sz w:val="20"/>
          <w:szCs w:val="16"/>
        </w:rPr>
      </w:pPr>
      <w:r>
        <w:rPr>
          <w:spacing w:val="4"/>
          <w:sz w:val="20"/>
          <w:szCs w:val="16"/>
        </w:rPr>
        <w:t>В свое время, И.В. Дубов обращал внимание на отсутствие кладов куфических монет в Волго-Окском междуречье Х в.. при наличии 6 таковых середины – второй половины IX в. (Седов В.В., 2002а. – С. 557–558; Дубов И.В., 1982. – С. 138, 113–115; Добровольский И.Г., Дубов И.В., Седых В.Н., 1996. – С. 185–187). Транзитность монетного потока через ярославское Поволжье подтверждается конкретным</w:t>
      </w:r>
      <w:r>
        <w:rPr>
          <w:spacing w:val="4"/>
          <w:sz w:val="20"/>
          <w:szCs w:val="16"/>
        </w:rPr>
        <w:br/>
        <w:t>кла</w:t>
      </w:r>
      <w:r w:rsidR="00395416">
        <w:rPr>
          <w:noProof/>
          <w:spacing w:val="4"/>
          <w:sz w:val="20"/>
          <w:szCs w:val="16"/>
        </w:rPr>
        <mc:AlternateContent>
          <mc:Choice Requires="wps">
            <w:drawing>
              <wp:anchor distT="0" distB="0" distL="114300" distR="114300" simplePos="0" relativeHeight="251649536" behindDoc="0" locked="1" layoutInCell="1" allowOverlap="1" wp14:anchorId="00EBCD22" wp14:editId="630760C8">
                <wp:simplePos x="0" y="0"/>
                <wp:positionH relativeFrom="column">
                  <wp:posOffset>0</wp:posOffset>
                </wp:positionH>
                <wp:positionV relativeFrom="paragraph">
                  <wp:posOffset>-252730</wp:posOffset>
                </wp:positionV>
                <wp:extent cx="4095750" cy="186690"/>
                <wp:effectExtent l="0" t="3810" r="2540" b="0"/>
                <wp:wrapNone/>
                <wp:docPr id="1714579671"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389B9"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46176442"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BCD22" id="Text Box 206" o:spid="_x0000_s1055" type="#_x0000_t202" style="position:absolute;left:0;text-align:left;margin-left:0;margin-top:-19.9pt;width:322.5pt;height:14.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ESrHr7wEAAMIDAAAOAAAAAAAAAAAAAAAAAC4CAABkcnMvZTJv&#10;RG9jLnhtbFBLAQItABQABgAIAAAAIQCnTgMH3gAAAAgBAAAPAAAAAAAAAAAAAAAAAEkEAABkcnMv&#10;ZG93bnJldi54bWxQSwUGAAAAAAQABADzAAAAVAUAAAAA&#10;" stroked="f">
                <v:textbox inset="0,0,0,0">
                  <w:txbxContent>
                    <w:p w14:paraId="5B9389B9"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46176442" w14:textId="77777777" w:rsidR="00AE2133" w:rsidRDefault="00AE2133">
                      <w:pPr>
                        <w:rPr>
                          <w:b/>
                          <w:bCs/>
                          <w:sz w:val="2"/>
                          <w:u w:val="single"/>
                        </w:rPr>
                      </w:pPr>
                    </w:p>
                  </w:txbxContent>
                </v:textbox>
                <w10:anchorlock/>
              </v:shape>
            </w:pict>
          </mc:Fallback>
        </mc:AlternateContent>
      </w:r>
      <w:r>
        <w:rPr>
          <w:spacing w:val="4"/>
          <w:sz w:val="20"/>
          <w:szCs w:val="16"/>
        </w:rPr>
        <w:t xml:space="preserve">дом, найденным у д.Пальцево Тверской губ. в 1923 г.. Клад (Kovalev R.K., 2002. – С. 160–164), имеющий в своем составе 4 ММ 294/913 гг., </w:t>
      </w:r>
      <w:r>
        <w:rPr>
          <w:spacing w:val="4"/>
          <w:sz w:val="20"/>
          <w:szCs w:val="16"/>
        </w:rPr>
        <w:lastRenderedPageBreak/>
        <w:t>примечателен тем, что выпал на стыке трех крупнейших торговых путей Восточной Европы  Волги, Ловати и Западной Двины. Помимо топографической особенности данный памятник отличает его хронологический состав, нехарактерный для синхронных ему кладов /Рис. 9/. Соотношение двух последних хроногрупп здесь обратное 1:2 (88 монет к 167), но в то же время эмиссионное распределение памятника идентично синхронных ему кладам /Рис. 10/. В попытках прояснения ситуации рассмотрим эмиссионное распределение в младшей ХГ. Оно ничем от обычных не отличается: аш-Шаш – Самарканд – прочие монетные дворы соотносятся  как 49:29:21.</w:t>
      </w:r>
    </w:p>
    <w:p w14:paraId="6250AA8F" w14:textId="77777777" w:rsidR="00CD484C" w:rsidRDefault="00CD484C">
      <w:pPr>
        <w:ind w:firstLine="397"/>
        <w:jc w:val="both"/>
        <w:rPr>
          <w:spacing w:val="2"/>
          <w:sz w:val="20"/>
          <w:szCs w:val="16"/>
        </w:rPr>
      </w:pPr>
      <w:r>
        <w:rPr>
          <w:spacing w:val="2"/>
          <w:sz w:val="20"/>
          <w:szCs w:val="16"/>
        </w:rPr>
        <w:t>Приходится остановиться на мысли о том, что данный депозит представляет собой иной тип кладов, выпавших на территории Восточной Европы во втором десятилетии Х в. Аргументом тому является клад, найденный А.Н. Москаленко при раскопках на городище Титчиха в Лискинского района Воронежской области (Москаленко А.Н., 1965. – С. 20, 142, 143, 272–273) /Рис. 11/, где превышение младшей ХГ над предшествующей не наблюдается.</w:t>
      </w:r>
    </w:p>
    <w:p w14:paraId="4BAC16AD" w14:textId="77777777" w:rsidR="00CD484C" w:rsidRDefault="00CD484C">
      <w:pPr>
        <w:ind w:firstLine="397"/>
        <w:jc w:val="both"/>
        <w:rPr>
          <w:i/>
          <w:iCs/>
          <w:spacing w:val="-4"/>
          <w:sz w:val="10"/>
          <w:szCs w:val="16"/>
        </w:rPr>
      </w:pPr>
    </w:p>
    <w:p w14:paraId="23EEC5D0" w14:textId="77777777" w:rsidR="00CD484C" w:rsidRDefault="00CD484C">
      <w:pPr>
        <w:ind w:firstLine="397"/>
        <w:jc w:val="both"/>
        <w:rPr>
          <w:i/>
          <w:iCs/>
          <w:spacing w:val="-4"/>
          <w:sz w:val="10"/>
          <w:szCs w:val="16"/>
        </w:rPr>
      </w:pPr>
    </w:p>
    <w:p w14:paraId="1A2783AC" w14:textId="0462A798" w:rsidR="00CD484C" w:rsidRDefault="00395416">
      <w:pPr>
        <w:jc w:val="center"/>
        <w:rPr>
          <w:sz w:val="20"/>
          <w:szCs w:val="16"/>
        </w:rPr>
      </w:pPr>
      <w:r>
        <w:rPr>
          <w:noProof/>
          <w:sz w:val="20"/>
          <w:szCs w:val="16"/>
        </w:rPr>
        <w:drawing>
          <wp:inline distT="0" distB="0" distL="0" distR="0" wp14:anchorId="6C710766" wp14:editId="6979E568">
            <wp:extent cx="3162300" cy="2677795"/>
            <wp:effectExtent l="0" t="0" r="0" b="0"/>
            <wp:docPr id="20"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8F31F6B" w14:textId="77777777" w:rsidR="00CD484C" w:rsidRDefault="00CD484C">
      <w:pPr>
        <w:pStyle w:val="a7"/>
        <w:ind w:firstLine="0"/>
        <w:jc w:val="center"/>
        <w:rPr>
          <w:b/>
          <w:bCs/>
          <w:i/>
          <w:iCs/>
          <w:sz w:val="12"/>
          <w:szCs w:val="16"/>
          <w:lang w:val="ru-RU"/>
        </w:rPr>
      </w:pPr>
    </w:p>
    <w:p w14:paraId="22094615" w14:textId="77777777" w:rsidR="00CD484C" w:rsidRDefault="00CD484C">
      <w:pPr>
        <w:pStyle w:val="a7"/>
        <w:ind w:firstLine="0"/>
        <w:jc w:val="center"/>
        <w:rPr>
          <w:i/>
          <w:iCs/>
          <w:sz w:val="18"/>
          <w:szCs w:val="16"/>
          <w:lang w:val="ru-RU"/>
        </w:rPr>
      </w:pPr>
      <w:r>
        <w:rPr>
          <w:b/>
          <w:bCs/>
          <w:i/>
          <w:iCs/>
          <w:sz w:val="18"/>
          <w:szCs w:val="16"/>
          <w:lang w:val="ru-RU"/>
        </w:rPr>
        <w:t>Рис.10.</w:t>
      </w:r>
      <w:r>
        <w:rPr>
          <w:i/>
          <w:iCs/>
          <w:sz w:val="18"/>
          <w:szCs w:val="16"/>
          <w:lang w:val="ru-RU"/>
        </w:rPr>
        <w:t xml:space="preserve"> Клад Пальцево 1923 г. Эмиссионное распределение </w:t>
      </w:r>
      <w:r>
        <w:rPr>
          <w:i/>
          <w:iCs/>
          <w:sz w:val="18"/>
          <w:szCs w:val="16"/>
          <w:lang w:val="ru-RU"/>
        </w:rPr>
        <w:br/>
        <w:t>(248 монет по Р.К. Ковалеву)</w:t>
      </w:r>
    </w:p>
    <w:p w14:paraId="58D250FE" w14:textId="318CEABB" w:rsidR="00CD484C" w:rsidRDefault="00395416">
      <w:pPr>
        <w:jc w:val="center"/>
        <w:rPr>
          <w:sz w:val="20"/>
          <w:szCs w:val="16"/>
        </w:rPr>
      </w:pPr>
      <w:r>
        <w:rPr>
          <w:noProof/>
          <w:sz w:val="20"/>
          <w:szCs w:val="16"/>
        </w:rPr>
        <w:lastRenderedPageBreak/>
        <w:drawing>
          <wp:inline distT="0" distB="0" distL="0" distR="0" wp14:anchorId="4735B4A3" wp14:editId="1C70E1A3">
            <wp:extent cx="2895600" cy="1866900"/>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77A176A" w14:textId="77777777" w:rsidR="00CD484C" w:rsidRDefault="00CD484C">
      <w:pPr>
        <w:ind w:firstLine="397"/>
        <w:jc w:val="center"/>
        <w:rPr>
          <w:i/>
          <w:iCs/>
          <w:sz w:val="16"/>
          <w:szCs w:val="16"/>
        </w:rPr>
      </w:pPr>
    </w:p>
    <w:p w14:paraId="41E0E9A4" w14:textId="77777777" w:rsidR="00CD484C" w:rsidRDefault="00CD484C">
      <w:pPr>
        <w:jc w:val="center"/>
        <w:rPr>
          <w:i/>
          <w:iCs/>
          <w:sz w:val="18"/>
          <w:szCs w:val="16"/>
        </w:rPr>
      </w:pPr>
      <w:r>
        <w:rPr>
          <w:b/>
          <w:bCs/>
          <w:i/>
          <w:iCs/>
          <w:sz w:val="18"/>
          <w:szCs w:val="16"/>
        </w:rPr>
        <w:t>Рис. 11.</w:t>
      </w:r>
      <w:r>
        <w:rPr>
          <w:i/>
          <w:iCs/>
          <w:sz w:val="18"/>
          <w:szCs w:val="16"/>
        </w:rPr>
        <w:t xml:space="preserve"> Клад Титчиха 1957 г. Хронолого-эмиссионное распределение. </w:t>
      </w:r>
      <w:r>
        <w:rPr>
          <w:i/>
          <w:iCs/>
          <w:sz w:val="18"/>
          <w:szCs w:val="16"/>
        </w:rPr>
        <w:br/>
        <w:t>22 монеты (по А.Н. Москаленко)</w:t>
      </w:r>
    </w:p>
    <w:p w14:paraId="6C7011E4" w14:textId="77777777" w:rsidR="00CD484C" w:rsidRDefault="00CD484C">
      <w:pPr>
        <w:pStyle w:val="a7"/>
        <w:ind w:firstLine="397"/>
        <w:rPr>
          <w:sz w:val="18"/>
          <w:szCs w:val="16"/>
          <w:lang w:val="ru-RU"/>
        </w:rPr>
      </w:pPr>
    </w:p>
    <w:p w14:paraId="226B4573" w14:textId="77777777" w:rsidR="00CD484C" w:rsidRDefault="00CD484C">
      <w:pPr>
        <w:pStyle w:val="a7"/>
        <w:ind w:firstLine="397"/>
        <w:rPr>
          <w:sz w:val="20"/>
          <w:szCs w:val="16"/>
          <w:lang w:val="ru-RU"/>
        </w:rPr>
      </w:pPr>
      <w:r>
        <w:rPr>
          <w:sz w:val="20"/>
          <w:szCs w:val="16"/>
          <w:lang w:val="ru-RU"/>
        </w:rPr>
        <w:t>Таким образом, при практически идентичном эмиссионном распредления кладов, выпавших во втором десятилетии Х в. на территории Восточной Европы, мы располагаем двумя разными типами хронологического составов, которые свидетельствуют о разных темпах обновления монетной массы. /Рис. 12/. Как видно из изложенного материала отбор признаков с целью выделения типов носит эмпирический характер (Клейн Л.С., 1991. – С. 112–115) и предпринимается впервые.</w:t>
      </w:r>
    </w:p>
    <w:p w14:paraId="08541CBB" w14:textId="77777777" w:rsidR="00CD484C" w:rsidRDefault="00CD484C">
      <w:pPr>
        <w:pStyle w:val="a7"/>
        <w:ind w:firstLine="397"/>
        <w:rPr>
          <w:sz w:val="20"/>
          <w:szCs w:val="16"/>
          <w:lang w:val="ru-RU"/>
        </w:rPr>
      </w:pPr>
    </w:p>
    <w:p w14:paraId="1DDEDE25" w14:textId="1BF8922D" w:rsidR="00CD484C" w:rsidRDefault="00395416">
      <w:pPr>
        <w:jc w:val="center"/>
        <w:rPr>
          <w:sz w:val="20"/>
          <w:szCs w:val="16"/>
        </w:rPr>
      </w:pPr>
      <w:r>
        <w:rPr>
          <w:noProof/>
          <w:sz w:val="20"/>
          <w:szCs w:val="16"/>
        </w:rPr>
        <w:drawing>
          <wp:inline distT="0" distB="0" distL="0" distR="0" wp14:anchorId="725FB04C" wp14:editId="3E59F429">
            <wp:extent cx="3211195" cy="2117090"/>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9FCEB5D" w14:textId="77777777" w:rsidR="00CD484C" w:rsidRDefault="00CD484C">
      <w:pPr>
        <w:jc w:val="center"/>
        <w:rPr>
          <w:b/>
          <w:bCs/>
          <w:i/>
          <w:iCs/>
          <w:sz w:val="12"/>
          <w:szCs w:val="16"/>
        </w:rPr>
      </w:pPr>
    </w:p>
    <w:p w14:paraId="46DE11EC" w14:textId="77777777" w:rsidR="00CD484C" w:rsidRDefault="00CD484C">
      <w:pPr>
        <w:jc w:val="center"/>
        <w:rPr>
          <w:i/>
          <w:iCs/>
          <w:sz w:val="18"/>
          <w:szCs w:val="16"/>
        </w:rPr>
      </w:pPr>
      <w:r>
        <w:rPr>
          <w:b/>
          <w:bCs/>
          <w:i/>
          <w:iCs/>
          <w:sz w:val="18"/>
          <w:szCs w:val="16"/>
        </w:rPr>
        <w:t>Рис. 12.</w:t>
      </w:r>
      <w:r>
        <w:rPr>
          <w:i/>
          <w:iCs/>
          <w:sz w:val="18"/>
          <w:szCs w:val="16"/>
        </w:rPr>
        <w:t xml:space="preserve"> Типы распределений хронологических составов кладов, </w:t>
      </w:r>
      <w:r>
        <w:rPr>
          <w:i/>
          <w:iCs/>
          <w:sz w:val="18"/>
          <w:szCs w:val="16"/>
        </w:rPr>
        <w:br/>
        <w:t>выпавших во II десятилетии X в.</w:t>
      </w:r>
    </w:p>
    <w:p w14:paraId="50625AFB" w14:textId="77777777" w:rsidR="00CD484C" w:rsidRDefault="00CD484C">
      <w:pPr>
        <w:jc w:val="center"/>
        <w:rPr>
          <w:i/>
          <w:iCs/>
          <w:sz w:val="18"/>
          <w:szCs w:val="16"/>
        </w:rPr>
      </w:pPr>
    </w:p>
    <w:p w14:paraId="68493DA0" w14:textId="57C3F480" w:rsidR="00CD484C" w:rsidRDefault="00395416">
      <w:pPr>
        <w:ind w:firstLine="397"/>
        <w:jc w:val="both"/>
        <w:rPr>
          <w:sz w:val="20"/>
          <w:szCs w:val="16"/>
        </w:rPr>
      </w:pPr>
      <w:r>
        <w:rPr>
          <w:noProof/>
          <w:sz w:val="20"/>
          <w:szCs w:val="16"/>
        </w:rPr>
        <w:lastRenderedPageBreak/>
        <mc:AlternateContent>
          <mc:Choice Requires="wps">
            <w:drawing>
              <wp:anchor distT="0" distB="0" distL="114300" distR="114300" simplePos="0" relativeHeight="251650560" behindDoc="0" locked="1" layoutInCell="1" allowOverlap="1" wp14:anchorId="712948CC" wp14:editId="37DDEC6D">
                <wp:simplePos x="0" y="0"/>
                <wp:positionH relativeFrom="column">
                  <wp:posOffset>0</wp:posOffset>
                </wp:positionH>
                <wp:positionV relativeFrom="paragraph">
                  <wp:posOffset>-252730</wp:posOffset>
                </wp:positionV>
                <wp:extent cx="4095750" cy="186690"/>
                <wp:effectExtent l="0" t="1905" r="2540" b="1905"/>
                <wp:wrapNone/>
                <wp:docPr id="1109824388"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1A613D"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7111476F"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948CC" id="Text Box 207" o:spid="_x0000_s1056" type="#_x0000_t202" style="position:absolute;left:0;text-align:left;margin-left:0;margin-top:-19.9pt;width:322.5pt;height:14.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ob+Is7wEAAMIDAAAOAAAAAAAAAAAAAAAAAC4CAABkcnMvZTJv&#10;RG9jLnhtbFBLAQItABQABgAIAAAAIQCnTgMH3gAAAAgBAAAPAAAAAAAAAAAAAAAAAEkEAABkcnMv&#10;ZG93bnJldi54bWxQSwUGAAAAAAQABADzAAAAVAUAAAAA&#10;" stroked="f">
                <v:textbox inset="0,0,0,0">
                  <w:txbxContent>
                    <w:p w14:paraId="4A1A613D"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7111476F" w14:textId="77777777" w:rsidR="00AE2133" w:rsidRDefault="00AE2133">
                      <w:pPr>
                        <w:rPr>
                          <w:b/>
                          <w:bCs/>
                          <w:sz w:val="2"/>
                          <w:u w:val="single"/>
                        </w:rPr>
                      </w:pPr>
                    </w:p>
                  </w:txbxContent>
                </v:textbox>
                <w10:anchorlock/>
              </v:shape>
            </w:pict>
          </mc:Fallback>
        </mc:AlternateContent>
      </w:r>
      <w:r w:rsidR="00CD484C">
        <w:rPr>
          <w:sz w:val="20"/>
          <w:szCs w:val="16"/>
        </w:rPr>
        <w:t>Топографическое положение памятников и соотношение двух последних хроногорупп в них показывают, что обновление  составов кладов происходило более быстрыми темпами в районах наиболее близко расположенными к местам поступления монеты в Европу, что свидетельствует о транзитности монетного потока, из которых выпали клады типа Богдановского и Казанской губ 1840 г. В то же время, замедленное обновление монетной массы, как представляется, отражает то хронологическое распределение, которое показывает меньший  показатель младшей ХГ по сравнению с предшествующей ХГ монет. Иными словами, говоря, клады Пальцево 1923 г. и с городища Титчиха 1957 г. отражают другой тип денежных депозитов, образовавшихся в результате не транзитной торговли, но внутреннего денежного обращения.</w:t>
      </w:r>
    </w:p>
    <w:p w14:paraId="5CCE1949" w14:textId="77777777" w:rsidR="00CD484C" w:rsidRDefault="00CD484C">
      <w:pPr>
        <w:ind w:firstLine="397"/>
        <w:jc w:val="both"/>
        <w:rPr>
          <w:sz w:val="20"/>
          <w:szCs w:val="16"/>
        </w:rPr>
      </w:pPr>
      <w:r>
        <w:rPr>
          <w:sz w:val="20"/>
          <w:szCs w:val="16"/>
        </w:rPr>
        <w:t>Сравнивая русские и шведские клады, крупный шведский нумизмат С. Болин /S. Bolin/, объяснил отсутствие монет позднее 890 г. Р.Х. в кладах рассматриваемого времени в Восточной и Северной Европе, изъятием их из состава местного денежного обращения. Готландские монеты экспортировались на Британские острова (Сойер П., 2002. – С. 166–168)</w:t>
      </w:r>
      <w:r>
        <w:rPr>
          <w:rStyle w:val="a6"/>
          <w:sz w:val="20"/>
          <w:szCs w:val="16"/>
        </w:rPr>
        <w:footnoteReference w:customMarkFollows="1" w:id="44"/>
        <w:t>20</w:t>
      </w:r>
      <w:r>
        <w:rPr>
          <w:sz w:val="20"/>
          <w:szCs w:val="16"/>
        </w:rPr>
        <w:t>.</w:t>
      </w:r>
    </w:p>
    <w:p w14:paraId="69ACF084" w14:textId="77777777" w:rsidR="00CD484C" w:rsidRDefault="00CD484C">
      <w:pPr>
        <w:ind w:firstLine="397"/>
        <w:jc w:val="both"/>
        <w:rPr>
          <w:sz w:val="20"/>
          <w:szCs w:val="16"/>
        </w:rPr>
      </w:pPr>
      <w:r>
        <w:rPr>
          <w:sz w:val="20"/>
          <w:szCs w:val="16"/>
        </w:rPr>
        <w:t>Интересно, что в Закавказье, представленный  сравнительно поздними кладами Яз-Кираги  1955 г. и Банбаши 1948 г. с датой ММ 342/952-953 гг. монеты чекан Андераба в рассматриваемом периоде не проявляет видимой закономерности, согласно Е.А. Пахомову (Пахомов Е.А., 1966. – С. 36, № 48; 41, 42, 44, 60).</w:t>
      </w:r>
    </w:p>
    <w:p w14:paraId="2A93E07B" w14:textId="77777777" w:rsidR="00CD484C" w:rsidRDefault="00CD484C">
      <w:pPr>
        <w:ind w:firstLine="397"/>
        <w:jc w:val="both"/>
        <w:rPr>
          <w:sz w:val="20"/>
          <w:szCs w:val="16"/>
        </w:rPr>
      </w:pPr>
      <w:r>
        <w:rPr>
          <w:sz w:val="20"/>
          <w:szCs w:val="16"/>
        </w:rPr>
        <w:t>Андерабская монета в Азербайджанских кладах Яз-Кираги 1958 г.и Банбаши 1948 г., начиная с 254–304/916 поступала с перерывами, наиболее насыщен диапазон 265–278 (877–890) гг. ММ Андераба 304 г.х в кладах Азербайджана при несистематическом характере поступления афганских монет в Закавказье. Основном приоритетом для монет афганских эмиров был рынок Согда и Чача.</w:t>
      </w:r>
    </w:p>
    <w:p w14:paraId="06179113" w14:textId="77777777" w:rsidR="00CD484C" w:rsidRDefault="00CD484C">
      <w:pPr>
        <w:ind w:firstLine="397"/>
        <w:jc w:val="both"/>
        <w:rPr>
          <w:sz w:val="20"/>
          <w:szCs w:val="16"/>
        </w:rPr>
      </w:pPr>
      <w:r>
        <w:rPr>
          <w:sz w:val="20"/>
          <w:szCs w:val="16"/>
        </w:rPr>
        <w:t xml:space="preserve">Вместе с тем, в наиболее представительном кладе Яз-Кираги  не считая «старшую» саманидскую монету 283 г.х. аш-Шаш,  саманидский «ряд» начинается с самаркандской монеты 305/915–916 гг. – это позволяет констатировать, что андерабский дирхем  даже в период интенсивного всплеска чеканки, отложившегося на средней Волге 295–304 г. лишь эпизодически проникал в Закавказье, и после начала постепенного угасания андерабской эмиссии весь его поток в Европу шел через Маверанахр. И, кроме того, поступление афганской монеты в Закавказье осуществлялось </w:t>
      </w:r>
      <w:r>
        <w:rPr>
          <w:sz w:val="20"/>
          <w:szCs w:val="16"/>
        </w:rPr>
        <w:lastRenderedPageBreak/>
        <w:t>самостоятельно и не было связано в движением саманидского серебра в Закавказье, начавшегося с 305/916–917 гг. и наиболее усиливавшееся с 313/924–925 г. Отметим один дирхем 880 г. андерабской чеканки, происходящий из, вероятно, разрозненного клада, состоящего из 8 монет, собранного в поле близ д.Омутницкая  Лудоширской волости Глазовского уезда Вятской губернии</w:t>
      </w:r>
      <w:r>
        <w:rPr>
          <w:rStyle w:val="a6"/>
          <w:sz w:val="20"/>
          <w:szCs w:val="16"/>
        </w:rPr>
        <w:footnoteReference w:customMarkFollows="1" w:id="45"/>
        <w:t>21</w:t>
      </w:r>
      <w:r>
        <w:rPr>
          <w:sz w:val="20"/>
          <w:szCs w:val="16"/>
        </w:rPr>
        <w:t>.</w:t>
      </w:r>
    </w:p>
    <w:p w14:paraId="512536D4" w14:textId="77777777" w:rsidR="00CD484C" w:rsidRDefault="00CD484C">
      <w:pPr>
        <w:ind w:firstLine="397"/>
        <w:jc w:val="both"/>
        <w:rPr>
          <w:sz w:val="20"/>
          <w:szCs w:val="16"/>
        </w:rPr>
      </w:pPr>
      <w:r>
        <w:rPr>
          <w:sz w:val="20"/>
          <w:szCs w:val="16"/>
        </w:rPr>
        <w:t>Освещая поступление саманидской монеты в Закавказье, важно подчеркнуть, что мы не исключаем ее появление в Европе,  разумеется, в сочетании с монетами Западного Ирана, Ирака, и малых династий собственно Закавказья через Железные ворота – Дербент. В этой связи заметим, что по данным закавказских кладов, прежде всего, Яз-Кираги 1958 г. из 30 дирхемов саманидской чеканки (исключая чекан Андераба) 16, т.е. абсолютное большинство представлено самаркандским монетным двором, тогда как его основной конкурент монетный двор аш-Шаш представлен эпизодически всего 6 дирхемами начиная с 319 и 320 г.х., а суммарно соотношение монет аш-Шаш – Самарканд по данным эмиссионного распределения кладов Яз-Кираги и Банбаши с момента стабильного появления самаркандской монеты в Закавказье, т.е. с 313 г.х. и до даты ММ 342/952-953 гг. соотносится аш-Шаш/Самарканд  как  0,375</w:t>
      </w:r>
      <w:r>
        <w:rPr>
          <w:rStyle w:val="a6"/>
          <w:sz w:val="20"/>
          <w:szCs w:val="16"/>
        </w:rPr>
        <w:footnoteReference w:customMarkFollows="1" w:id="46"/>
        <w:t>22</w:t>
      </w:r>
      <w:r>
        <w:rPr>
          <w:sz w:val="20"/>
          <w:szCs w:val="16"/>
        </w:rPr>
        <w:t>.</w:t>
      </w:r>
    </w:p>
    <w:p w14:paraId="1BB5544F" w14:textId="77777777" w:rsidR="00CD484C" w:rsidRDefault="00CD484C">
      <w:pPr>
        <w:pStyle w:val="a7"/>
        <w:ind w:firstLine="397"/>
        <w:rPr>
          <w:sz w:val="20"/>
          <w:szCs w:val="16"/>
          <w:lang w:val="ru-RU"/>
        </w:rPr>
      </w:pPr>
      <w:r>
        <w:rPr>
          <w:sz w:val="20"/>
          <w:szCs w:val="16"/>
          <w:lang w:val="ru-RU"/>
        </w:rPr>
        <w:t>Наконец, рассматривая наличие андерабских монет в кладе Алтынтепа 1976 г., нетрудно заметить их крайне малое присутствие – всего 3 экз. в широком хронологическом диапазоне 280- 307 г.х., свидетельствующее об их выносе на внешние, а, скорее всего, на европейский рынок, на что обращает внимание соотношение монет аш-Шаш – Самарканд в пользу ташкентского монетного двора /табл. 5/.</w:t>
      </w:r>
    </w:p>
    <w:p w14:paraId="167026C1" w14:textId="77777777" w:rsidR="00CD484C" w:rsidRDefault="00CD484C">
      <w:pPr>
        <w:ind w:firstLine="397"/>
        <w:jc w:val="both"/>
        <w:rPr>
          <w:spacing w:val="-4"/>
          <w:sz w:val="20"/>
          <w:szCs w:val="16"/>
        </w:rPr>
      </w:pPr>
      <w:r>
        <w:rPr>
          <w:spacing w:val="-4"/>
          <w:sz w:val="20"/>
          <w:szCs w:val="16"/>
        </w:rPr>
        <w:t>Столица иранской провинции Хорасан – Нишапур  в рассматриваемых кладах представлена рядом дирхемов с датами в Богдановском кладе 293, 294, 295 и 302 г.х. при наличии одной монеты Мерва 300 г.х.  (№ 328 описи), которую, по определению В.Г. Тизенгаузена направлена Археологической комиссией в  Вятку. Наличие редких монет Мерва  в кладах превалирование по отношению к нему монет Нисабура начала Х в. предполагает наличие географической связки Нишапур – Мерв. Крайне незначительное количество монет данной географической связки в кладах Мавервнахра, изучение которых проводили М.Е. Массон, Е.А. Давидович и Б.Д. Кочнев (Калинин В.А., Петров П.Н., 2000. – С. 217–220) позволяют высказать предположение о самостоятельном движении монет Нишапур – Мерв в Европу. В лакуне 911–920 гг. Самарского клада Ставропольского у. 1856 г. присутствует две монеты чекан Нисабура при полном отсутствии монет Маверанахра. /Рис. 13/.</w:t>
      </w:r>
    </w:p>
    <w:p w14:paraId="678B7B99" w14:textId="77777777" w:rsidR="00CD484C" w:rsidRDefault="00CD484C">
      <w:pPr>
        <w:ind w:firstLine="397"/>
        <w:jc w:val="both"/>
        <w:rPr>
          <w:sz w:val="20"/>
          <w:szCs w:val="16"/>
        </w:rPr>
      </w:pPr>
    </w:p>
    <w:p w14:paraId="6D119357" w14:textId="5319E53D" w:rsidR="00CD484C" w:rsidRDefault="00395416">
      <w:pPr>
        <w:ind w:firstLine="397"/>
        <w:jc w:val="both"/>
        <w:rPr>
          <w:sz w:val="20"/>
          <w:szCs w:val="16"/>
        </w:rPr>
      </w:pPr>
      <w:r>
        <w:rPr>
          <w:noProof/>
          <w:sz w:val="20"/>
          <w:szCs w:val="16"/>
        </w:rPr>
        <w:lastRenderedPageBreak/>
        <mc:AlternateContent>
          <mc:Choice Requires="wps">
            <w:drawing>
              <wp:anchor distT="0" distB="0" distL="114300" distR="114300" simplePos="0" relativeHeight="251651584" behindDoc="0" locked="1" layoutInCell="1" allowOverlap="1" wp14:anchorId="57DAA3D5" wp14:editId="70DC6BA1">
                <wp:simplePos x="0" y="0"/>
                <wp:positionH relativeFrom="column">
                  <wp:posOffset>0</wp:posOffset>
                </wp:positionH>
                <wp:positionV relativeFrom="paragraph">
                  <wp:posOffset>-252730</wp:posOffset>
                </wp:positionV>
                <wp:extent cx="4095750" cy="186690"/>
                <wp:effectExtent l="0" t="1905" r="3810" b="1905"/>
                <wp:wrapNone/>
                <wp:docPr id="132107868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647B7"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2DA9EFC1"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A3D5" id="Text Box 208" o:spid="_x0000_s1057" type="#_x0000_t202" style="position:absolute;left:0;text-align:left;margin-left:0;margin-top:-19.9pt;width:322.5pt;height:14.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bnUh57wEAAMIDAAAOAAAAAAAAAAAAAAAAAC4CAABkcnMvZTJv&#10;RG9jLnhtbFBLAQItABQABgAIAAAAIQCnTgMH3gAAAAgBAAAPAAAAAAAAAAAAAAAAAEkEAABkcnMv&#10;ZG93bnJldi54bWxQSwUGAAAAAAQABADzAAAAVAUAAAAA&#10;" stroked="f">
                <v:textbox inset="0,0,0,0">
                  <w:txbxContent>
                    <w:p w14:paraId="2D7647B7"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2DA9EFC1" w14:textId="77777777" w:rsidR="00AE2133" w:rsidRDefault="00AE2133">
                      <w:pPr>
                        <w:rPr>
                          <w:b/>
                          <w:bCs/>
                          <w:sz w:val="2"/>
                          <w:u w:val="single"/>
                        </w:rPr>
                      </w:pPr>
                    </w:p>
                  </w:txbxContent>
                </v:textbox>
                <w10:anchorlock/>
              </v:shape>
            </w:pict>
          </mc:Fallback>
        </mc:AlternateContent>
      </w:r>
      <w:r>
        <w:rPr>
          <w:noProof/>
          <w:sz w:val="20"/>
          <w:szCs w:val="16"/>
        </w:rPr>
        <w:drawing>
          <wp:inline distT="0" distB="0" distL="0" distR="0" wp14:anchorId="5BFB40B4" wp14:editId="697AF2BA">
            <wp:extent cx="3564890" cy="2351405"/>
            <wp:effectExtent l="0" t="0" r="0" b="0"/>
            <wp:docPr id="23"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64E6CFC" w14:textId="77777777" w:rsidR="00CD484C" w:rsidRDefault="00CD484C">
      <w:pPr>
        <w:tabs>
          <w:tab w:val="left" w:pos="3420"/>
        </w:tabs>
        <w:ind w:firstLine="397"/>
        <w:jc w:val="center"/>
        <w:rPr>
          <w:i/>
          <w:iCs/>
          <w:sz w:val="20"/>
          <w:szCs w:val="16"/>
        </w:rPr>
      </w:pPr>
    </w:p>
    <w:p w14:paraId="19B7ED78" w14:textId="77777777" w:rsidR="00CD484C" w:rsidRDefault="00CD484C">
      <w:pPr>
        <w:tabs>
          <w:tab w:val="left" w:pos="3420"/>
        </w:tabs>
        <w:jc w:val="center"/>
        <w:rPr>
          <w:i/>
          <w:iCs/>
          <w:sz w:val="18"/>
          <w:szCs w:val="16"/>
        </w:rPr>
      </w:pPr>
      <w:r>
        <w:rPr>
          <w:b/>
          <w:bCs/>
          <w:i/>
          <w:iCs/>
          <w:sz w:val="18"/>
          <w:szCs w:val="16"/>
        </w:rPr>
        <w:t>Рис.13.</w:t>
      </w:r>
      <w:r>
        <w:rPr>
          <w:i/>
          <w:iCs/>
          <w:sz w:val="18"/>
          <w:szCs w:val="16"/>
        </w:rPr>
        <w:t xml:space="preserve"> Клад из Ставропольского у. Самарской губ.1856 г. </w:t>
      </w:r>
      <w:r>
        <w:rPr>
          <w:i/>
          <w:iCs/>
          <w:sz w:val="18"/>
          <w:szCs w:val="16"/>
        </w:rPr>
        <w:br/>
        <w:t>Хронолого-ммисионное распределение. (41 монет по П.С. Савельеву)</w:t>
      </w:r>
    </w:p>
    <w:p w14:paraId="401DD9FA" w14:textId="77777777" w:rsidR="00CD484C" w:rsidRDefault="00CD484C">
      <w:pPr>
        <w:ind w:firstLine="397"/>
        <w:jc w:val="both"/>
        <w:rPr>
          <w:sz w:val="20"/>
          <w:szCs w:val="16"/>
        </w:rPr>
      </w:pPr>
    </w:p>
    <w:p w14:paraId="54402D4D" w14:textId="77777777" w:rsidR="00CD484C" w:rsidRDefault="00CD484C">
      <w:pPr>
        <w:ind w:firstLine="397"/>
        <w:jc w:val="both"/>
        <w:rPr>
          <w:sz w:val="20"/>
          <w:szCs w:val="16"/>
        </w:rPr>
      </w:pPr>
      <w:r>
        <w:rPr>
          <w:sz w:val="20"/>
          <w:szCs w:val="16"/>
        </w:rPr>
        <w:t>Как пишет С.А. Плетнёва (2000. – С. 203) отсутствие письменных источников о Волго-Сальско-Камском междуречье Х в., объясняется мирным сосуществованием  далеких степных народов. Богатое хазарское погребение, известное в Самарской луке, свидетельствует о продвижении хазарских отрядов вверх по Волге (Плетнёва С.А., 2003. – С. 203).</w:t>
      </w:r>
    </w:p>
    <w:p w14:paraId="3D16C8E0" w14:textId="77777777" w:rsidR="00CD484C" w:rsidRDefault="00CD484C">
      <w:pPr>
        <w:ind w:firstLine="397"/>
        <w:jc w:val="both"/>
        <w:rPr>
          <w:sz w:val="20"/>
          <w:szCs w:val="16"/>
        </w:rPr>
      </w:pPr>
      <w:r>
        <w:rPr>
          <w:sz w:val="20"/>
          <w:szCs w:val="16"/>
        </w:rPr>
        <w:t>Клад монет, найденный в Ставропольском уезде в 1856 г. вблизи совр.г.Тольятти, характерен тем, что он является пограничным между Хазарией и Волжской Булгарией. Соотношение двух младших хронологических групп, составляющее 0,54 (12 к 22), может показаться противоестественным, поскольку он найден в начале поступления монет в Европу. Однако почти двукратное превалирование хронологической группы предшествующей младшей позволяет придти к мнению о том, что данный клад образовался в результате внутреннего денежного обращения в среде местного населения (Хан Н.А., 2001. – С. 35).</w:t>
      </w:r>
    </w:p>
    <w:p w14:paraId="2E25146A" w14:textId="77777777" w:rsidR="00CD484C" w:rsidRDefault="00CD484C">
      <w:pPr>
        <w:ind w:firstLine="397"/>
        <w:jc w:val="both"/>
        <w:rPr>
          <w:sz w:val="20"/>
          <w:szCs w:val="16"/>
        </w:rPr>
      </w:pPr>
      <w:r>
        <w:rPr>
          <w:sz w:val="20"/>
          <w:szCs w:val="16"/>
        </w:rPr>
        <w:t xml:space="preserve">Детальное изучение синхронных кладов в соответствии с существующей методикой анализа хронологического составов кладов позволит прояснить вопрос о числе монетных потоков из данного региона Центральной Азии в Европу, поскольку изложенное выше позволяет лишь сделать предположение о трех монетных потоках, имеющих свое начало в Мерве, Самарканде и аш-Шаше на рубеже IX–Х вв., пока в плане гипотезы. Состояние историографии по данному вопросу в части, касающегося нумизматического аспекта, существенно продвигает нас к решению вопроса. </w:t>
      </w:r>
      <w:r>
        <w:rPr>
          <w:sz w:val="20"/>
          <w:szCs w:val="16"/>
        </w:rPr>
        <w:lastRenderedPageBreak/>
        <w:t xml:space="preserve">«Несомненно, – писал Р.Р. Фасмер Р.Р., – что за два столетия торговые пути не оставались все одними и теми же. Как пример можно привести тот факт, что древнейшие монеты приходили в Россию из Рея через  Каспийское море, между тем как в более позднее время главным центром торговли с Россией был Хорезм (Хива)” (Фасмер Р.Р., 1933. – С. 476). Изучение состава европейских кладов Х в. позволило А.В. Фомину установить, что монеты на границе Средней Азии разделялись на два потока. «Первый направлялся в Волжской Булгарии, а затем вверх по Волге. Второй монетный поток распространялся из Хазариии в Поднепровье и частично в Поднестровье и Прикарпатье» (Фомин А.В., 1988а. – С. 197). Добавим сюда то наблюдение, состоящее в том по данным эмиссионного распределения кладов продукции монетных дворов Самарканда, аш-Шаша и Андераба следовали через Хорезм, где смешивались с монетами, происходящие из эмиссионной связки Нишапур – Мерв, а уже оттуда направлялся в Европу. </w:t>
      </w:r>
    </w:p>
    <w:p w14:paraId="5F8CF495" w14:textId="77777777" w:rsidR="00CD484C" w:rsidRDefault="00CD484C">
      <w:pPr>
        <w:ind w:firstLine="397"/>
        <w:jc w:val="both"/>
        <w:rPr>
          <w:sz w:val="20"/>
          <w:szCs w:val="16"/>
        </w:rPr>
      </w:pPr>
      <w:r>
        <w:rPr>
          <w:sz w:val="20"/>
          <w:szCs w:val="16"/>
        </w:rPr>
        <w:t>В этой связи, думается, вряд ли будет ошибкой утверждать, что клад, происходящий</w:t>
      </w:r>
      <w:r>
        <w:rPr>
          <w:sz w:val="20"/>
          <w:szCs w:val="16"/>
        </w:rPr>
        <w:tab/>
        <w:t>из Казанской губернии 1840 г., содержащий абсолютное большинство ташкентских дирхемов исмаили поступил из Ташкента непосредственно на среднюю Волгу. Упомянутый клад является прямой альтернативой кладу Красный десант, найденный в 1970-х гг. в Астраханской области (Фёдоров-Давыдов Г.А., 1988. – С. 47, № 45), в котором представлены только три эмиссионных центра, причем, монеты аш-Шаша являются здесь старшими (их две), а одна монета с нечитаемым местом чеканки датируется 299 г.х. и едва попадает в определяющую группу монет клада. Таким образом, клад Кр.десант выпал из транзитного монетного потока самаркандской монеты, где монеты Андераба, не входившие в группу младших, играли вспомогательную роль. К сожалению, небольшой размер клада не позволяет провести корректные статистические сопоставления, подобные тем, которые мы провели по материалам кладов  1840 г. и Богдановского</w:t>
      </w:r>
      <w:r>
        <w:rPr>
          <w:rStyle w:val="a6"/>
          <w:sz w:val="20"/>
          <w:szCs w:val="16"/>
        </w:rPr>
        <w:footnoteReference w:customMarkFollows="1" w:id="47"/>
        <w:t>23</w:t>
      </w:r>
      <w:r>
        <w:rPr>
          <w:sz w:val="20"/>
          <w:szCs w:val="16"/>
        </w:rPr>
        <w:t>.</w:t>
      </w:r>
    </w:p>
    <w:p w14:paraId="3D8FDC4F" w14:textId="77777777" w:rsidR="00CD484C" w:rsidRDefault="00CD484C">
      <w:pPr>
        <w:ind w:firstLine="397"/>
        <w:jc w:val="both"/>
        <w:rPr>
          <w:sz w:val="20"/>
          <w:szCs w:val="16"/>
        </w:rPr>
      </w:pPr>
      <w:r>
        <w:rPr>
          <w:sz w:val="20"/>
          <w:szCs w:val="16"/>
        </w:rPr>
        <w:t xml:space="preserve">Таким образом, в первом двадцатилетии Х в. в Восточную Европу  саманидский дирхем поступал двумя потоками на нижнюю Волгу из Самарканда и на Волгу среднюю из аш-Шаша. </w:t>
      </w:r>
    </w:p>
    <w:p w14:paraId="530396EB" w14:textId="77777777" w:rsidR="00CD484C" w:rsidRDefault="00CD484C">
      <w:pPr>
        <w:ind w:firstLine="397"/>
        <w:jc w:val="both"/>
        <w:rPr>
          <w:sz w:val="20"/>
          <w:szCs w:val="16"/>
        </w:rPr>
      </w:pPr>
      <w:r>
        <w:rPr>
          <w:sz w:val="20"/>
          <w:szCs w:val="16"/>
        </w:rPr>
        <w:t xml:space="preserve"> На средней Волге шашский дирхем, по-видимому, смешиваясь с дирхемами чеканки Самарканда, направлялся вверх по ее течению в Днепровско-Двинский водораздел, в то время, как транзитный поток, состоящий целиком из монет самаркандской эмиссии, вероятно, транзитом проследовал </w:t>
      </w:r>
      <w:r>
        <w:rPr>
          <w:sz w:val="20"/>
          <w:szCs w:val="16"/>
        </w:rPr>
        <w:lastRenderedPageBreak/>
        <w:t>через Поокский монетный рынок, чтобы осесть на среднем Поднепровье. Появление, вместе с тем, начиная со второй половины Х в. монет той же самаркандской чеканки в Закавказье и возможные отдельные прорывы саманидо-бувейхидской монетной массы через Дербент, позволяет предположить, что в первой половине Х в. ближняя циркумкаспийская зона находилась под влиянием дирхема самаркандской в основном эмиссии.</w:t>
      </w:r>
    </w:p>
    <w:p w14:paraId="4BC19581" w14:textId="0EBEF139" w:rsidR="00CD484C" w:rsidRDefault="00395416">
      <w:pPr>
        <w:ind w:firstLine="397"/>
        <w:jc w:val="both"/>
        <w:rPr>
          <w:spacing w:val="-2"/>
          <w:sz w:val="20"/>
          <w:szCs w:val="16"/>
        </w:rPr>
      </w:pPr>
      <w:r>
        <w:rPr>
          <w:noProof/>
          <w:spacing w:val="-2"/>
          <w:sz w:val="20"/>
          <w:szCs w:val="16"/>
        </w:rPr>
        <mc:AlternateContent>
          <mc:Choice Requires="wps">
            <w:drawing>
              <wp:anchor distT="0" distB="0" distL="114300" distR="114300" simplePos="0" relativeHeight="251652608" behindDoc="0" locked="1" layoutInCell="1" allowOverlap="1" wp14:anchorId="79CC1325" wp14:editId="239E6615">
                <wp:simplePos x="0" y="0"/>
                <wp:positionH relativeFrom="column">
                  <wp:posOffset>0</wp:posOffset>
                </wp:positionH>
                <wp:positionV relativeFrom="paragraph">
                  <wp:posOffset>-1567180</wp:posOffset>
                </wp:positionV>
                <wp:extent cx="4095750" cy="186690"/>
                <wp:effectExtent l="0" t="1905" r="3810" b="1905"/>
                <wp:wrapNone/>
                <wp:docPr id="334805281"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C3F83"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03CD8060"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C1325" id="Text Box 209" o:spid="_x0000_s1058" type="#_x0000_t202" style="position:absolute;left:0;text-align:left;margin-left:0;margin-top:-123.4pt;width:322.5pt;height:14.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" stroked="f">
                <v:textbox inset="0,0,0,0">
                  <w:txbxContent>
                    <w:p w14:paraId="706C3F83" w14:textId="77777777" w:rsidR="00AE2133" w:rsidRDefault="00AE2133">
                      <w:pPr>
                        <w:pStyle w:val="a3"/>
                        <w:spacing w:before="0" w:after="0"/>
                        <w:rPr>
                          <w:szCs w:val="24"/>
                          <w:u w:val="single"/>
                        </w:rPr>
                      </w:pPr>
                      <w:r>
                        <w:rPr>
                          <w:szCs w:val="24"/>
                          <w:u w:val="single"/>
                        </w:rPr>
                        <w:t xml:space="preserve">        Очерк  3. Уровни связей и типы денежных депозитов…</w:t>
                      </w:r>
                      <w:r>
                        <w:rPr>
                          <w:szCs w:val="24"/>
                          <w:u w:val="single"/>
                        </w:rPr>
                        <w:tab/>
                      </w:r>
                      <w:r>
                        <w:rPr>
                          <w:szCs w:val="24"/>
                          <w:u w:val="single"/>
                        </w:rPr>
                        <w:tab/>
                      </w:r>
                    </w:p>
                    <w:p w14:paraId="03CD8060" w14:textId="77777777" w:rsidR="00AE2133" w:rsidRDefault="00AE2133">
                      <w:pPr>
                        <w:rPr>
                          <w:b/>
                          <w:bCs/>
                          <w:sz w:val="2"/>
                          <w:u w:val="single"/>
                        </w:rPr>
                      </w:pPr>
                    </w:p>
                  </w:txbxContent>
                </v:textbox>
                <w10:anchorlock/>
              </v:shape>
            </w:pict>
          </mc:Fallback>
        </mc:AlternateContent>
      </w:r>
      <w:r w:rsidR="00CD484C">
        <w:rPr>
          <w:spacing w:val="-2"/>
          <w:sz w:val="20"/>
          <w:szCs w:val="16"/>
        </w:rPr>
        <w:t>Таким образом, клады типа Муромского, соответствующего периода, а также клад Лужки 1973 г., показывают  существование транитиного монетного потока шашского в основном дирхема, что подтверждает слова В.Л. Янина (Янин В.Л., 1956. – С. 104–105) о важности Оки как транспортной артерии, связывающей Волжской Булгарию с землей вятичей, в то время как самостоятельное следование дирхема самаркандской эмиссии и саманидо-бувейхидского потока через бассейн Оки исключать мы будем.</w:t>
      </w:r>
    </w:p>
    <w:p w14:paraId="5C91516D" w14:textId="77777777" w:rsidR="00CD484C" w:rsidRDefault="00CD484C">
      <w:pPr>
        <w:ind w:firstLine="397"/>
        <w:jc w:val="both"/>
        <w:rPr>
          <w:sz w:val="20"/>
          <w:szCs w:val="16"/>
        </w:rPr>
      </w:pPr>
      <w:r>
        <w:rPr>
          <w:sz w:val="20"/>
          <w:szCs w:val="16"/>
        </w:rPr>
        <w:t>Изложенные материалы, нуждающиеся в дальнейшем изучении, позволяет поставить вопрос о причинах  проникновения самаркандского дирхема в Закавказье, начиная со второй четверти  Х в., в то время как показывает хронолого-династийное распределение только Муромского клада 1868 г., потребность населения Восточной Европы в серебре, целиком шедшее на нужды внутреннего денежного обращения, постоянно возрастала.</w:t>
      </w:r>
    </w:p>
    <w:p w14:paraId="4DED9B16" w14:textId="77777777" w:rsidR="00CD484C" w:rsidRDefault="00CD484C">
      <w:pPr>
        <w:ind w:firstLine="397"/>
        <w:jc w:val="both"/>
        <w:rPr>
          <w:sz w:val="20"/>
          <w:szCs w:val="16"/>
        </w:rPr>
      </w:pPr>
      <w:r>
        <w:rPr>
          <w:sz w:val="20"/>
          <w:szCs w:val="16"/>
        </w:rPr>
        <w:t>Приведенные наблюдения далеки от окончательного завершения – здесь представляется возможным говорить о двух типах кладов, выделенных по признаку синхронности младшей монеты в период массового поступления дирхемов-исмаили на рубеже IX–X вв., а также трех уровней связей данных денежных депозитов по принципу соотношения пропорций монетных выпусков к эмиссионным центрам.</w:t>
      </w:r>
    </w:p>
    <w:p w14:paraId="2F6388B0" w14:textId="77777777" w:rsidR="00CD484C" w:rsidRDefault="00CD484C">
      <w:pPr>
        <w:ind w:firstLine="397"/>
        <w:jc w:val="both"/>
        <w:rPr>
          <w:sz w:val="20"/>
          <w:szCs w:val="16"/>
        </w:rPr>
      </w:pPr>
    </w:p>
    <w:p w14:paraId="187F9EC8" w14:textId="77777777" w:rsidR="00CD484C" w:rsidRDefault="00CD484C">
      <w:pPr>
        <w:ind w:firstLine="397"/>
        <w:jc w:val="both"/>
        <w:rPr>
          <w:sz w:val="20"/>
          <w:szCs w:val="16"/>
        </w:rPr>
      </w:pPr>
    </w:p>
    <w:p w14:paraId="72FB2623" w14:textId="77777777" w:rsidR="00CD484C" w:rsidRDefault="00CD484C">
      <w:pPr>
        <w:ind w:firstLine="397"/>
        <w:jc w:val="both"/>
        <w:rPr>
          <w:sz w:val="20"/>
          <w:szCs w:val="16"/>
        </w:rPr>
      </w:pPr>
    </w:p>
    <w:p w14:paraId="27F2F17F" w14:textId="77777777" w:rsidR="00CD484C" w:rsidRDefault="00CD484C">
      <w:pPr>
        <w:ind w:firstLine="397"/>
        <w:jc w:val="both"/>
        <w:rPr>
          <w:sz w:val="20"/>
          <w:szCs w:val="16"/>
        </w:rPr>
      </w:pPr>
    </w:p>
    <w:p w14:paraId="2E275474" w14:textId="77777777" w:rsidR="00CD484C" w:rsidRDefault="00CD484C">
      <w:pPr>
        <w:ind w:firstLine="397"/>
        <w:jc w:val="both"/>
        <w:rPr>
          <w:sz w:val="20"/>
          <w:szCs w:val="16"/>
        </w:rPr>
      </w:pPr>
    </w:p>
    <w:p w14:paraId="35DFAC46" w14:textId="77777777" w:rsidR="00CD484C" w:rsidRDefault="00CD484C">
      <w:pPr>
        <w:ind w:firstLine="397"/>
        <w:jc w:val="both"/>
        <w:rPr>
          <w:sz w:val="20"/>
          <w:szCs w:val="16"/>
        </w:rPr>
      </w:pPr>
    </w:p>
    <w:p w14:paraId="60E0D3DE" w14:textId="77777777" w:rsidR="00CD484C" w:rsidRDefault="00CD484C">
      <w:pPr>
        <w:ind w:firstLine="397"/>
        <w:jc w:val="both"/>
        <w:rPr>
          <w:sz w:val="20"/>
          <w:szCs w:val="16"/>
        </w:rPr>
      </w:pPr>
    </w:p>
    <w:p w14:paraId="2C2CCEB5" w14:textId="77777777" w:rsidR="00CD484C" w:rsidRDefault="00CD484C">
      <w:pPr>
        <w:ind w:firstLine="397"/>
        <w:jc w:val="both"/>
        <w:rPr>
          <w:sz w:val="20"/>
          <w:szCs w:val="16"/>
        </w:rPr>
      </w:pPr>
    </w:p>
    <w:p w14:paraId="4E02AE2D" w14:textId="77777777" w:rsidR="00CD484C" w:rsidRDefault="00CD484C">
      <w:pPr>
        <w:ind w:firstLine="397"/>
        <w:jc w:val="both"/>
        <w:rPr>
          <w:sz w:val="20"/>
          <w:szCs w:val="16"/>
        </w:rPr>
      </w:pPr>
    </w:p>
    <w:p w14:paraId="57E0C592" w14:textId="77777777" w:rsidR="00CD484C" w:rsidRDefault="00CD484C">
      <w:pPr>
        <w:ind w:firstLine="397"/>
        <w:jc w:val="both"/>
        <w:rPr>
          <w:sz w:val="20"/>
          <w:szCs w:val="16"/>
        </w:rPr>
      </w:pPr>
    </w:p>
    <w:p w14:paraId="650847FB" w14:textId="77777777" w:rsidR="00CD484C" w:rsidRDefault="00CD484C">
      <w:pPr>
        <w:ind w:firstLine="397"/>
        <w:jc w:val="both"/>
        <w:rPr>
          <w:sz w:val="20"/>
          <w:szCs w:val="16"/>
        </w:rPr>
      </w:pPr>
    </w:p>
    <w:p w14:paraId="09BE4F24" w14:textId="77777777" w:rsidR="00CD484C" w:rsidRDefault="00CD484C">
      <w:pPr>
        <w:ind w:firstLine="397"/>
        <w:jc w:val="center"/>
        <w:rPr>
          <w:b/>
          <w:bCs/>
          <w:sz w:val="20"/>
          <w:szCs w:val="16"/>
        </w:rPr>
      </w:pPr>
    </w:p>
    <w:p w14:paraId="64EEBB38" w14:textId="77777777" w:rsidR="00CD484C" w:rsidRDefault="00CD484C">
      <w:pPr>
        <w:ind w:firstLine="397"/>
        <w:jc w:val="center"/>
        <w:rPr>
          <w:b/>
          <w:bCs/>
          <w:sz w:val="20"/>
          <w:szCs w:val="16"/>
        </w:rPr>
      </w:pPr>
    </w:p>
    <w:p w14:paraId="35913474" w14:textId="77777777" w:rsidR="00CD484C" w:rsidRDefault="00CD484C">
      <w:pPr>
        <w:ind w:firstLine="397"/>
        <w:jc w:val="center"/>
        <w:rPr>
          <w:b/>
          <w:bCs/>
          <w:sz w:val="20"/>
          <w:szCs w:val="16"/>
        </w:rPr>
      </w:pPr>
    </w:p>
    <w:p w14:paraId="1E960934" w14:textId="77777777" w:rsidR="00CD484C" w:rsidRDefault="00CD484C">
      <w:pPr>
        <w:pStyle w:val="a3"/>
        <w:spacing w:before="2280"/>
      </w:pPr>
      <w:r>
        <w:lastRenderedPageBreak/>
        <w:t>ОЧЕРК 4.</w:t>
      </w:r>
    </w:p>
    <w:p w14:paraId="7CEBD92B" w14:textId="77777777" w:rsidR="00CD484C" w:rsidRDefault="00CD484C">
      <w:pPr>
        <w:spacing w:after="120"/>
        <w:jc w:val="center"/>
        <w:rPr>
          <w:sz w:val="20"/>
          <w:szCs w:val="16"/>
        </w:rPr>
      </w:pPr>
      <w:r>
        <w:rPr>
          <w:b/>
          <w:bCs/>
          <w:sz w:val="20"/>
          <w:szCs w:val="16"/>
        </w:rPr>
        <w:t xml:space="preserve">ЗАКАВКАЗСКИЕ КЛАДЫ КУФИЧЕСКИХ МОНЕТ </w:t>
      </w:r>
      <w:r>
        <w:rPr>
          <w:b/>
          <w:bCs/>
          <w:sz w:val="20"/>
          <w:szCs w:val="16"/>
        </w:rPr>
        <w:br/>
        <w:t xml:space="preserve">ПЕРВОЙ ПОЛОВИНЫ Х в. </w:t>
      </w:r>
      <w:r>
        <w:rPr>
          <w:b/>
          <w:bCs/>
          <w:sz w:val="20"/>
          <w:szCs w:val="16"/>
        </w:rPr>
        <w:br/>
        <w:t>(ОПЫТ ИСТОРИКО-НУМИЗМАТИЧЕСКОГО ИЗУЧЕНИЯ)</w:t>
      </w:r>
    </w:p>
    <w:p w14:paraId="7EF7392F" w14:textId="77777777" w:rsidR="00CD484C" w:rsidRDefault="00CD484C">
      <w:pPr>
        <w:ind w:firstLine="397"/>
        <w:jc w:val="both"/>
        <w:rPr>
          <w:spacing w:val="2"/>
          <w:sz w:val="20"/>
          <w:szCs w:val="16"/>
        </w:rPr>
      </w:pPr>
      <w:r>
        <w:rPr>
          <w:spacing w:val="2"/>
          <w:sz w:val="20"/>
          <w:szCs w:val="16"/>
        </w:rPr>
        <w:t xml:space="preserve">В исторической науки большое внимание уделяется источниковедению кладов с куфическим монетами, изучаемые с помощью хронологического династийного и географического состава кладов, основу которого заложил Р.Р. Фасмер (Фасмер Р.Р., 1925. – С. 246–269). Стремление полностью использовать эвристический потенциал куфической монеты, несущей в себе имя, год, место чеканки позволяет ученым выявить состояние  денежного обращения как в странах-эмитентах исламского серебра, так и в странах-потребителях. В начальных пунктах поступления восточного серебра, в частности  в Восточной Европе изменение и, следовательно, обновление хронологического состава происходило быстро вследствие их первичного положения к источнику поступления серебро, тогда как в конечных пунктах подобное изменения менее заметно – здесь характеры клады с большим хронологическим диапазоном. Клады зарывавшиеся местным населением, что доказано Г.Ф. Корзухиной и В.Л. Яниным отражают движение монетного серебра, являвшееся по определению В.Л. Янина монетным потоком, и именно клады, будучи следствием движения такого потока, откладывались «не на торговых путях, а на периферии распространения монетных потоков, в пограничных районах или на переходах из одной системы торговых коммуникаций в другую, характеризуя монетно-денежные рынки» (Фомин А.В., 1995. – С. 71). </w:t>
      </w:r>
    </w:p>
    <w:p w14:paraId="6D59B5EF" w14:textId="5A593D4F" w:rsidR="00CD484C" w:rsidRDefault="00CD484C">
      <w:pPr>
        <w:ind w:firstLine="397"/>
        <w:jc w:val="both"/>
        <w:rPr>
          <w:sz w:val="20"/>
          <w:szCs w:val="16"/>
        </w:rPr>
      </w:pPr>
      <w:r>
        <w:rPr>
          <w:sz w:val="20"/>
          <w:szCs w:val="16"/>
        </w:rPr>
        <w:t xml:space="preserve">Изучение географического составов кладов Х в., проведенных С.А. Яниной – Новгородских (1 и 2 Неревские) (Янина С.А., 1956. – С. 188; 1962а. – С. 293–328) и А.В. Фоминым – Гнездовских (Фомин А.В., 1996. – С. 189) позволило выявить источники поступления – эмиссионные центры – монеты в изученных специалистами кладах, каковых оказалось </w:t>
      </w:r>
      <w:r w:rsidR="00395416">
        <w:rPr>
          <w:noProof/>
          <w:sz w:val="20"/>
          <w:szCs w:val="16"/>
        </w:rPr>
        <mc:AlternateContent>
          <mc:Choice Requires="wps">
            <w:drawing>
              <wp:anchor distT="0" distB="0" distL="114300" distR="114300" simplePos="0" relativeHeight="251653632" behindDoc="0" locked="1" layoutInCell="1" allowOverlap="1" wp14:anchorId="25075A72" wp14:editId="4EDEF491">
                <wp:simplePos x="0" y="0"/>
                <wp:positionH relativeFrom="column">
                  <wp:posOffset>0</wp:posOffset>
                </wp:positionH>
                <wp:positionV relativeFrom="paragraph">
                  <wp:posOffset>-252730</wp:posOffset>
                </wp:positionV>
                <wp:extent cx="4095750" cy="186690"/>
                <wp:effectExtent l="0" t="1905" r="3810" b="1905"/>
                <wp:wrapNone/>
                <wp:docPr id="131102408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98BA59"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203198F6"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75A72" id="Text Box 210" o:spid="_x0000_s1059" type="#_x0000_t202" style="position:absolute;left:0;text-align:left;margin-left:0;margin-top:-19.9pt;width:322.5pt;height:14.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" stroked="f">
                <v:textbox inset="0,0,0,0">
                  <w:txbxContent>
                    <w:p w14:paraId="0A98BA59"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203198F6" w14:textId="77777777" w:rsidR="00AE2133" w:rsidRDefault="00AE2133">
                      <w:pPr>
                        <w:rPr>
                          <w:b/>
                          <w:bCs/>
                          <w:sz w:val="2"/>
                          <w:u w:val="single"/>
                        </w:rPr>
                      </w:pPr>
                    </w:p>
                  </w:txbxContent>
                </v:textbox>
                <w10:anchorlock/>
              </v:shape>
            </w:pict>
          </mc:Fallback>
        </mc:AlternateContent>
      </w:r>
      <w:r>
        <w:rPr>
          <w:sz w:val="20"/>
          <w:szCs w:val="16"/>
        </w:rPr>
        <w:t xml:space="preserve">3: Маверанахр, Андераб, области Табаристана и Джабала. Материалы кладов, выпавшие на средней и нижней Волге – кладов наиболее близких к источнику поступления  восточной монеты в Х в. показывают о двух монетных потоках – сухопутный и волжский (Хан Н.А., 2001). Последний представлен кладами, состоящими исключительно из дирхемов династии Бувейхидов (Буидов). Исходя из этого, определенный интерес имеют клады, выпавшие, как  на родине-эмитента восточной монеты, так и в самом начале пути распространения дирхема в Европу. Интерес  возрастает в силу того, что как выявлено в советской нумизматике, прежде всего А.В. Фоминым, для конца VIII–IX вв., установлена закономерность соответствия между числом кладов данного времени, выпавших в Восточной и Западной Европы  и </w:t>
      </w:r>
      <w:r>
        <w:rPr>
          <w:sz w:val="20"/>
          <w:szCs w:val="16"/>
        </w:rPr>
        <w:lastRenderedPageBreak/>
        <w:t xml:space="preserve">Закавказьем и, если  импульс халифатской чеканки 770-х гг. практически целиком осел в Закавказье (Фомин А.В., 1988б. – С. 110–113), нашедшее подтверждение в том, что увеличение экспорта серебра в Восточную Европу прямо сказывалось на числе  закавказских кладов. </w:t>
      </w:r>
    </w:p>
    <w:p w14:paraId="25A58763" w14:textId="77777777" w:rsidR="00CD484C" w:rsidRDefault="00CD484C">
      <w:pPr>
        <w:ind w:firstLine="397"/>
        <w:jc w:val="both"/>
        <w:rPr>
          <w:spacing w:val="5"/>
          <w:sz w:val="20"/>
          <w:szCs w:val="16"/>
        </w:rPr>
      </w:pPr>
      <w:r>
        <w:rPr>
          <w:spacing w:val="5"/>
          <w:sz w:val="20"/>
          <w:szCs w:val="16"/>
        </w:rPr>
        <w:t xml:space="preserve">Благодаря 9 выпускам серии работ и специальной разработке, посвященной монетам Грузии, – видного советского специалиста по  денежному обращению Закавказья Е.А. Пахомова, а также работам нумизматов Х.А. Мушегяна и И.Л. Джалаганиа наука располагает неоценимым материалом, по денежному обращению данных стран </w:t>
      </w:r>
      <w:r>
        <w:rPr>
          <w:spacing w:val="5"/>
          <w:sz w:val="20"/>
          <w:szCs w:val="16"/>
        </w:rPr>
        <w:br/>
        <w:t xml:space="preserve">в IX–Х вв. </w:t>
      </w:r>
    </w:p>
    <w:p w14:paraId="5A47BAA7" w14:textId="77777777" w:rsidR="00CD484C" w:rsidRDefault="00CD484C">
      <w:pPr>
        <w:ind w:firstLine="397"/>
        <w:jc w:val="both"/>
        <w:rPr>
          <w:sz w:val="20"/>
          <w:szCs w:val="16"/>
        </w:rPr>
      </w:pPr>
      <w:r>
        <w:rPr>
          <w:sz w:val="20"/>
          <w:szCs w:val="16"/>
        </w:rPr>
        <w:t xml:space="preserve">Попытаемся выявить некоторые особенности денежного обращения в Закавказье, представленных тремя кладам выпавшие на территории Армении, в районе знаменитого городища Двин; Азербайджане на пути, связанном Южный Азербайджан со средневековым городом Муган. Их хронологическая близость позволяет не только рассматривать их  порознь, но и как единый комплекс, характеризующий состав денежного обращения  в этих странах. /Табл. 1/. Изучение данных источников представляет значительный интерес для отечественной исторической науки в связи с тем, что науке известно по ал-Мас’уди и Ибн Исфендийару о походе русов на южное побережье Каспийского моря в 300/912-913 гг., а также из сведений совершенно независимых друг от друга источников – арабского Ибн Мискавейха и скандинавской Саги об Ингваре путешественнике – когда в 333/944 г. русы под предводительством предположительно киевского князя Игоря  совершили, правда, не очень удачный поход на азербайджанский город Берда’а (Бартольд В.В., 2002. – С. 372–373; Якубовский А.Ю., 1926; Сахаров А.Н., 1982. – С. 96; Новосельцев А.П., 1990. – С. 196; Петрухин В.Я, 1995. – С. 102; 2000. – С. 221; Древняя Русь, 1999. – С. 223–224; Мельникова Е.А., 2001. – С. 48–62). </w:t>
      </w:r>
    </w:p>
    <w:p w14:paraId="0CD082C5" w14:textId="77777777" w:rsidR="00CD484C" w:rsidRDefault="00CD484C">
      <w:pPr>
        <w:ind w:firstLine="397"/>
        <w:jc w:val="both"/>
        <w:rPr>
          <w:sz w:val="20"/>
          <w:szCs w:val="16"/>
        </w:rPr>
      </w:pPr>
    </w:p>
    <w:p w14:paraId="36357AD6" w14:textId="77777777" w:rsidR="00CD484C" w:rsidRDefault="00CD484C">
      <w:pPr>
        <w:ind w:firstLine="397"/>
        <w:jc w:val="right"/>
        <w:rPr>
          <w:i/>
          <w:iCs/>
          <w:sz w:val="20"/>
          <w:szCs w:val="16"/>
        </w:rPr>
      </w:pPr>
    </w:p>
    <w:p w14:paraId="3CB63138" w14:textId="77777777" w:rsidR="00CD484C" w:rsidRDefault="00CD484C">
      <w:pPr>
        <w:ind w:firstLine="397"/>
        <w:jc w:val="right"/>
        <w:rPr>
          <w:i/>
          <w:iCs/>
          <w:sz w:val="20"/>
          <w:szCs w:val="16"/>
        </w:rPr>
      </w:pPr>
      <w:r>
        <w:rPr>
          <w:i/>
          <w:iCs/>
          <w:sz w:val="20"/>
          <w:szCs w:val="16"/>
        </w:rPr>
        <w:t xml:space="preserve">Таблица 1 </w:t>
      </w:r>
    </w:p>
    <w:p w14:paraId="348B0424" w14:textId="77777777" w:rsidR="00CD484C" w:rsidRDefault="00CD484C">
      <w:pPr>
        <w:spacing w:after="120"/>
        <w:jc w:val="center"/>
        <w:rPr>
          <w:b/>
          <w:bCs/>
          <w:sz w:val="18"/>
          <w:szCs w:val="16"/>
        </w:rPr>
      </w:pPr>
      <w:r>
        <w:rPr>
          <w:b/>
          <w:bCs/>
          <w:sz w:val="20"/>
          <w:szCs w:val="16"/>
        </w:rPr>
        <w:t xml:space="preserve">Клады куфических монет Закавказья первой половины Х в. </w:t>
      </w:r>
      <w:r>
        <w:rPr>
          <w:b/>
          <w:bCs/>
          <w:sz w:val="20"/>
          <w:szCs w:val="16"/>
        </w:rPr>
        <w:br/>
      </w:r>
      <w:r>
        <w:rPr>
          <w:b/>
          <w:bCs/>
          <w:sz w:val="18"/>
          <w:szCs w:val="16"/>
        </w:rPr>
        <w:t xml:space="preserve">(Мушегян Х.А., 1956. – С. 86–87; 1962. – С. 139–144; </w:t>
      </w:r>
      <w:r>
        <w:rPr>
          <w:b/>
          <w:bCs/>
          <w:sz w:val="18"/>
          <w:szCs w:val="16"/>
        </w:rPr>
        <w:br/>
        <w:t>Пахомов Е.А., 1966. – С. 33–62, №№ 2105–2107)</w:t>
      </w:r>
    </w:p>
    <w:tbl>
      <w:tblPr>
        <w:tblW w:w="6480" w:type="dxa"/>
        <w:jc w:val="center"/>
        <w:tblLayout w:type="fixed"/>
        <w:tblCellMar>
          <w:left w:w="57" w:type="dxa"/>
          <w:right w:w="57" w:type="dxa"/>
        </w:tblCellMar>
        <w:tblLook w:val="00A0" w:firstRow="1" w:lastRow="0" w:firstColumn="1" w:lastColumn="0" w:noHBand="0" w:noVBand="0"/>
      </w:tblPr>
      <w:tblGrid>
        <w:gridCol w:w="244"/>
        <w:gridCol w:w="693"/>
        <w:gridCol w:w="720"/>
        <w:gridCol w:w="1080"/>
        <w:gridCol w:w="720"/>
        <w:gridCol w:w="775"/>
        <w:gridCol w:w="2248"/>
      </w:tblGrid>
      <w:tr w:rsidR="00CD484C" w14:paraId="6D2713FC" w14:textId="77777777">
        <w:trPr>
          <w:trHeight w:val="426"/>
          <w:jc w:val="center"/>
        </w:trPr>
        <w:tc>
          <w:tcPr>
            <w:tcW w:w="244" w:type="dxa"/>
            <w:tcBorders>
              <w:top w:val="single" w:sz="12" w:space="0" w:color="000000"/>
              <w:bottom w:val="single" w:sz="6" w:space="0" w:color="000000"/>
              <w:right w:val="single" w:sz="6" w:space="0" w:color="000000"/>
            </w:tcBorders>
            <w:vAlign w:val="center"/>
          </w:tcPr>
          <w:p w14:paraId="542AA7E7" w14:textId="77777777" w:rsidR="00CD484C" w:rsidRDefault="00CD484C">
            <w:pPr>
              <w:jc w:val="center"/>
              <w:rPr>
                <w:i/>
                <w:sz w:val="16"/>
                <w:szCs w:val="16"/>
              </w:rPr>
            </w:pPr>
            <w:r>
              <w:rPr>
                <w:i/>
                <w:sz w:val="16"/>
                <w:szCs w:val="16"/>
              </w:rPr>
              <w:t>№/№</w:t>
            </w:r>
          </w:p>
        </w:tc>
        <w:tc>
          <w:tcPr>
            <w:tcW w:w="693" w:type="dxa"/>
            <w:tcBorders>
              <w:top w:val="single" w:sz="12" w:space="0" w:color="000000"/>
              <w:left w:val="nil"/>
              <w:bottom w:val="single" w:sz="6" w:space="0" w:color="000000"/>
            </w:tcBorders>
            <w:vAlign w:val="center"/>
          </w:tcPr>
          <w:p w14:paraId="0378260F" w14:textId="77777777" w:rsidR="00CD484C" w:rsidRDefault="00CD484C">
            <w:pPr>
              <w:jc w:val="center"/>
              <w:rPr>
                <w:iCs/>
                <w:sz w:val="14"/>
                <w:szCs w:val="16"/>
              </w:rPr>
            </w:pPr>
            <w:r>
              <w:rPr>
                <w:iCs/>
                <w:sz w:val="14"/>
                <w:szCs w:val="16"/>
              </w:rPr>
              <w:t>Наименование клада</w:t>
            </w:r>
          </w:p>
        </w:tc>
        <w:tc>
          <w:tcPr>
            <w:tcW w:w="720" w:type="dxa"/>
            <w:tcBorders>
              <w:top w:val="single" w:sz="12" w:space="0" w:color="000000"/>
              <w:bottom w:val="single" w:sz="6" w:space="0" w:color="000000"/>
            </w:tcBorders>
            <w:vAlign w:val="center"/>
          </w:tcPr>
          <w:p w14:paraId="3358B876" w14:textId="77777777" w:rsidR="00CD484C" w:rsidRDefault="00CD484C">
            <w:pPr>
              <w:pStyle w:val="1"/>
              <w:jc w:val="center"/>
              <w:rPr>
                <w:i w:val="0"/>
                <w:iCs/>
                <w:sz w:val="14"/>
                <w:szCs w:val="16"/>
                <w:lang w:val="ru-RU"/>
              </w:rPr>
            </w:pPr>
            <w:r>
              <w:rPr>
                <w:i w:val="0"/>
                <w:iCs/>
                <w:sz w:val="14"/>
                <w:szCs w:val="16"/>
                <w:lang w:val="ru-RU"/>
              </w:rPr>
              <w:t xml:space="preserve">Дата </w:t>
            </w:r>
            <w:r>
              <w:rPr>
                <w:i w:val="0"/>
                <w:iCs/>
                <w:sz w:val="14"/>
                <w:szCs w:val="16"/>
                <w:lang w:val="ru-RU"/>
              </w:rPr>
              <w:br/>
              <w:t>ММ</w:t>
            </w:r>
          </w:p>
        </w:tc>
        <w:tc>
          <w:tcPr>
            <w:tcW w:w="1080" w:type="dxa"/>
            <w:tcBorders>
              <w:top w:val="single" w:sz="12" w:space="0" w:color="000000"/>
              <w:bottom w:val="single" w:sz="6" w:space="0" w:color="000000"/>
            </w:tcBorders>
            <w:vAlign w:val="center"/>
          </w:tcPr>
          <w:p w14:paraId="6DA94461" w14:textId="77777777" w:rsidR="00CD484C" w:rsidRDefault="00CD484C">
            <w:pPr>
              <w:jc w:val="center"/>
              <w:rPr>
                <w:iCs/>
                <w:sz w:val="14"/>
                <w:szCs w:val="16"/>
              </w:rPr>
            </w:pPr>
            <w:r>
              <w:rPr>
                <w:iCs/>
                <w:sz w:val="14"/>
                <w:szCs w:val="16"/>
              </w:rPr>
              <w:t xml:space="preserve">Дата </w:t>
            </w:r>
            <w:r>
              <w:rPr>
                <w:iCs/>
                <w:sz w:val="14"/>
                <w:szCs w:val="16"/>
              </w:rPr>
              <w:br/>
              <w:t>Ст.монеты</w:t>
            </w:r>
          </w:p>
        </w:tc>
        <w:tc>
          <w:tcPr>
            <w:tcW w:w="720" w:type="dxa"/>
            <w:tcBorders>
              <w:top w:val="single" w:sz="12" w:space="0" w:color="000000"/>
              <w:bottom w:val="single" w:sz="6" w:space="0" w:color="000000"/>
            </w:tcBorders>
            <w:vAlign w:val="center"/>
          </w:tcPr>
          <w:p w14:paraId="11B14250" w14:textId="77777777" w:rsidR="00CD484C" w:rsidRDefault="00CD484C">
            <w:pPr>
              <w:jc w:val="center"/>
              <w:rPr>
                <w:iCs/>
                <w:sz w:val="14"/>
                <w:szCs w:val="16"/>
              </w:rPr>
            </w:pPr>
            <w:r>
              <w:rPr>
                <w:iCs/>
                <w:sz w:val="14"/>
                <w:szCs w:val="16"/>
              </w:rPr>
              <w:t>Хронлог.диапазон</w:t>
            </w:r>
          </w:p>
        </w:tc>
        <w:tc>
          <w:tcPr>
            <w:tcW w:w="775" w:type="dxa"/>
            <w:tcBorders>
              <w:top w:val="single" w:sz="12" w:space="0" w:color="000000"/>
              <w:bottom w:val="single" w:sz="6" w:space="0" w:color="000000"/>
            </w:tcBorders>
            <w:vAlign w:val="center"/>
          </w:tcPr>
          <w:p w14:paraId="5849C151" w14:textId="77777777" w:rsidR="00CD484C" w:rsidRDefault="00CD484C">
            <w:pPr>
              <w:jc w:val="center"/>
              <w:rPr>
                <w:iCs/>
                <w:sz w:val="14"/>
                <w:szCs w:val="16"/>
              </w:rPr>
            </w:pPr>
            <w:r>
              <w:rPr>
                <w:iCs/>
                <w:sz w:val="14"/>
                <w:szCs w:val="16"/>
              </w:rPr>
              <w:t>Кол-во монет (распределено)</w:t>
            </w:r>
          </w:p>
        </w:tc>
        <w:tc>
          <w:tcPr>
            <w:tcW w:w="2248" w:type="dxa"/>
            <w:tcBorders>
              <w:top w:val="single" w:sz="12" w:space="0" w:color="000000"/>
              <w:bottom w:val="single" w:sz="6" w:space="0" w:color="000000"/>
            </w:tcBorders>
            <w:vAlign w:val="center"/>
          </w:tcPr>
          <w:p w14:paraId="208A1A7E" w14:textId="77777777" w:rsidR="00CD484C" w:rsidRDefault="00CD484C">
            <w:pPr>
              <w:pStyle w:val="9"/>
              <w:ind w:firstLine="0"/>
              <w:jc w:val="center"/>
              <w:rPr>
                <w:i w:val="0"/>
                <w:iCs/>
                <w:sz w:val="14"/>
              </w:rPr>
            </w:pPr>
            <w:r>
              <w:rPr>
                <w:i w:val="0"/>
                <w:iCs/>
                <w:sz w:val="14"/>
              </w:rPr>
              <w:t>Примечание</w:t>
            </w:r>
          </w:p>
        </w:tc>
      </w:tr>
      <w:tr w:rsidR="00CD484C" w14:paraId="74A4ED4D" w14:textId="77777777">
        <w:trPr>
          <w:trHeight w:val="209"/>
          <w:jc w:val="center"/>
        </w:trPr>
        <w:tc>
          <w:tcPr>
            <w:tcW w:w="244" w:type="dxa"/>
            <w:tcBorders>
              <w:right w:val="single" w:sz="6" w:space="0" w:color="000000"/>
            </w:tcBorders>
            <w:vAlign w:val="center"/>
          </w:tcPr>
          <w:p w14:paraId="0F369DF1" w14:textId="77777777" w:rsidR="00CD484C" w:rsidRDefault="00CD484C">
            <w:pPr>
              <w:jc w:val="center"/>
              <w:rPr>
                <w:sz w:val="16"/>
                <w:szCs w:val="16"/>
              </w:rPr>
            </w:pPr>
            <w:r>
              <w:rPr>
                <w:sz w:val="16"/>
                <w:szCs w:val="16"/>
              </w:rPr>
              <w:t>1.</w:t>
            </w:r>
          </w:p>
        </w:tc>
        <w:tc>
          <w:tcPr>
            <w:tcW w:w="693" w:type="dxa"/>
            <w:tcBorders>
              <w:left w:val="nil"/>
            </w:tcBorders>
            <w:vAlign w:val="center"/>
          </w:tcPr>
          <w:p w14:paraId="3D55CF89" w14:textId="77777777" w:rsidR="00CD484C" w:rsidRDefault="00CD484C">
            <w:pPr>
              <w:jc w:val="center"/>
              <w:rPr>
                <w:sz w:val="16"/>
                <w:szCs w:val="16"/>
              </w:rPr>
            </w:pPr>
            <w:r>
              <w:rPr>
                <w:sz w:val="16"/>
                <w:szCs w:val="16"/>
              </w:rPr>
              <w:t>с.Бзован 1955 г.</w:t>
            </w:r>
          </w:p>
        </w:tc>
        <w:tc>
          <w:tcPr>
            <w:tcW w:w="720" w:type="dxa"/>
            <w:vAlign w:val="center"/>
          </w:tcPr>
          <w:p w14:paraId="2007A253" w14:textId="77777777" w:rsidR="00CD484C" w:rsidRDefault="00CD484C">
            <w:pPr>
              <w:jc w:val="center"/>
              <w:rPr>
                <w:sz w:val="16"/>
                <w:szCs w:val="16"/>
              </w:rPr>
            </w:pPr>
            <w:r>
              <w:rPr>
                <w:sz w:val="16"/>
                <w:szCs w:val="16"/>
              </w:rPr>
              <w:t>324/935-6</w:t>
            </w:r>
          </w:p>
        </w:tc>
        <w:tc>
          <w:tcPr>
            <w:tcW w:w="1080" w:type="dxa"/>
            <w:vAlign w:val="center"/>
          </w:tcPr>
          <w:p w14:paraId="5FEAFEAD" w14:textId="77777777" w:rsidR="00CD484C" w:rsidRDefault="00CD484C">
            <w:pPr>
              <w:jc w:val="center"/>
              <w:rPr>
                <w:sz w:val="16"/>
                <w:szCs w:val="16"/>
              </w:rPr>
            </w:pPr>
            <w:r>
              <w:rPr>
                <w:sz w:val="16"/>
                <w:szCs w:val="16"/>
              </w:rPr>
              <w:t>179/795-6</w:t>
            </w:r>
          </w:p>
        </w:tc>
        <w:tc>
          <w:tcPr>
            <w:tcW w:w="720" w:type="dxa"/>
            <w:vAlign w:val="center"/>
          </w:tcPr>
          <w:p w14:paraId="55391959" w14:textId="77777777" w:rsidR="00CD484C" w:rsidRDefault="00CD484C">
            <w:pPr>
              <w:jc w:val="center"/>
              <w:rPr>
                <w:sz w:val="16"/>
                <w:szCs w:val="16"/>
              </w:rPr>
            </w:pPr>
            <w:r>
              <w:rPr>
                <w:sz w:val="16"/>
                <w:szCs w:val="16"/>
              </w:rPr>
              <w:t>50</w:t>
            </w:r>
          </w:p>
        </w:tc>
        <w:tc>
          <w:tcPr>
            <w:tcW w:w="775" w:type="dxa"/>
            <w:vAlign w:val="center"/>
          </w:tcPr>
          <w:p w14:paraId="0A8E57C2" w14:textId="77777777" w:rsidR="00CD484C" w:rsidRDefault="00CD484C">
            <w:pPr>
              <w:jc w:val="center"/>
              <w:rPr>
                <w:sz w:val="16"/>
                <w:szCs w:val="16"/>
              </w:rPr>
            </w:pPr>
            <w:r>
              <w:rPr>
                <w:sz w:val="16"/>
                <w:szCs w:val="16"/>
              </w:rPr>
              <w:t>23 (21)</w:t>
            </w:r>
          </w:p>
        </w:tc>
        <w:tc>
          <w:tcPr>
            <w:tcW w:w="2248" w:type="dxa"/>
            <w:vAlign w:val="center"/>
          </w:tcPr>
          <w:p w14:paraId="11C95A96" w14:textId="77777777" w:rsidR="00CD484C" w:rsidRDefault="00CD484C">
            <w:pPr>
              <w:rPr>
                <w:sz w:val="16"/>
                <w:szCs w:val="16"/>
              </w:rPr>
            </w:pPr>
            <w:r>
              <w:rPr>
                <w:sz w:val="16"/>
                <w:szCs w:val="16"/>
              </w:rPr>
              <w:t xml:space="preserve">Арташатский р-н.  Армения </w:t>
            </w:r>
            <w:r>
              <w:rPr>
                <w:sz w:val="16"/>
                <w:szCs w:val="16"/>
              </w:rPr>
              <w:br/>
              <w:t>(г-ще Двин). ММ: Мадинат-ас-Салам от им.ар-Ради.</w:t>
            </w:r>
          </w:p>
        </w:tc>
      </w:tr>
      <w:tr w:rsidR="00CD484C" w14:paraId="647CB687" w14:textId="77777777">
        <w:trPr>
          <w:trHeight w:val="322"/>
          <w:jc w:val="center"/>
        </w:trPr>
        <w:tc>
          <w:tcPr>
            <w:tcW w:w="244" w:type="dxa"/>
            <w:tcBorders>
              <w:right w:val="single" w:sz="6" w:space="0" w:color="000000"/>
            </w:tcBorders>
            <w:vAlign w:val="center"/>
          </w:tcPr>
          <w:p w14:paraId="7630A7BE" w14:textId="77777777" w:rsidR="00CD484C" w:rsidRDefault="00CD484C">
            <w:pPr>
              <w:jc w:val="center"/>
              <w:rPr>
                <w:sz w:val="16"/>
                <w:szCs w:val="16"/>
              </w:rPr>
            </w:pPr>
            <w:r>
              <w:rPr>
                <w:sz w:val="16"/>
                <w:szCs w:val="16"/>
              </w:rPr>
              <w:t>2.</w:t>
            </w:r>
          </w:p>
        </w:tc>
        <w:tc>
          <w:tcPr>
            <w:tcW w:w="693" w:type="dxa"/>
            <w:tcBorders>
              <w:left w:val="nil"/>
            </w:tcBorders>
            <w:vAlign w:val="center"/>
          </w:tcPr>
          <w:p w14:paraId="43A01F21" w14:textId="77777777" w:rsidR="00CD484C" w:rsidRDefault="00CD484C">
            <w:pPr>
              <w:jc w:val="center"/>
              <w:rPr>
                <w:sz w:val="16"/>
                <w:szCs w:val="16"/>
              </w:rPr>
            </w:pPr>
            <w:r>
              <w:rPr>
                <w:sz w:val="16"/>
                <w:szCs w:val="16"/>
              </w:rPr>
              <w:t>с.Банба-ши 1948 г.</w:t>
            </w:r>
          </w:p>
        </w:tc>
        <w:tc>
          <w:tcPr>
            <w:tcW w:w="720" w:type="dxa"/>
            <w:vAlign w:val="center"/>
          </w:tcPr>
          <w:p w14:paraId="70D71F9C" w14:textId="77777777" w:rsidR="00CD484C" w:rsidRDefault="00CD484C">
            <w:pPr>
              <w:jc w:val="center"/>
              <w:rPr>
                <w:sz w:val="16"/>
                <w:szCs w:val="16"/>
              </w:rPr>
            </w:pPr>
            <w:r>
              <w:rPr>
                <w:sz w:val="16"/>
                <w:szCs w:val="16"/>
              </w:rPr>
              <w:t>342/953-4. Шираз</w:t>
            </w:r>
          </w:p>
        </w:tc>
        <w:tc>
          <w:tcPr>
            <w:tcW w:w="1080" w:type="dxa"/>
            <w:vAlign w:val="center"/>
          </w:tcPr>
          <w:p w14:paraId="07E48FB9" w14:textId="77777777" w:rsidR="00CD484C" w:rsidRDefault="00CD484C">
            <w:pPr>
              <w:jc w:val="center"/>
              <w:rPr>
                <w:sz w:val="16"/>
                <w:szCs w:val="16"/>
              </w:rPr>
            </w:pPr>
            <w:r>
              <w:rPr>
                <w:sz w:val="16"/>
                <w:szCs w:val="16"/>
              </w:rPr>
              <w:t>192/807-8 и</w:t>
            </w:r>
          </w:p>
          <w:p w14:paraId="666A5CFC" w14:textId="77777777" w:rsidR="00CD484C" w:rsidRDefault="00CD484C">
            <w:pPr>
              <w:jc w:val="center"/>
              <w:rPr>
                <w:sz w:val="16"/>
                <w:szCs w:val="16"/>
              </w:rPr>
            </w:pPr>
            <w:r>
              <w:rPr>
                <w:sz w:val="16"/>
                <w:szCs w:val="16"/>
              </w:rPr>
              <w:t>253/867</w:t>
            </w:r>
          </w:p>
        </w:tc>
        <w:tc>
          <w:tcPr>
            <w:tcW w:w="720" w:type="dxa"/>
            <w:vAlign w:val="center"/>
          </w:tcPr>
          <w:p w14:paraId="197E12E8" w14:textId="77777777" w:rsidR="00CD484C" w:rsidRDefault="00CD484C">
            <w:pPr>
              <w:jc w:val="center"/>
              <w:rPr>
                <w:sz w:val="16"/>
                <w:szCs w:val="16"/>
              </w:rPr>
            </w:pPr>
            <w:r>
              <w:rPr>
                <w:sz w:val="16"/>
                <w:szCs w:val="16"/>
              </w:rPr>
              <w:t>150</w:t>
            </w:r>
          </w:p>
          <w:p w14:paraId="14A7FC37" w14:textId="77777777" w:rsidR="00CD484C" w:rsidRDefault="00CD484C">
            <w:pPr>
              <w:jc w:val="center"/>
              <w:rPr>
                <w:sz w:val="16"/>
                <w:szCs w:val="16"/>
              </w:rPr>
            </w:pPr>
            <w:r>
              <w:rPr>
                <w:sz w:val="16"/>
                <w:szCs w:val="16"/>
              </w:rPr>
              <w:t>и</w:t>
            </w:r>
          </w:p>
          <w:p w14:paraId="0B838AB9" w14:textId="77777777" w:rsidR="00CD484C" w:rsidRDefault="00CD484C">
            <w:pPr>
              <w:jc w:val="center"/>
              <w:rPr>
                <w:sz w:val="16"/>
                <w:szCs w:val="16"/>
              </w:rPr>
            </w:pPr>
            <w:r>
              <w:rPr>
                <w:sz w:val="16"/>
                <w:szCs w:val="16"/>
              </w:rPr>
              <w:t>89</w:t>
            </w:r>
          </w:p>
        </w:tc>
        <w:tc>
          <w:tcPr>
            <w:tcW w:w="775" w:type="dxa"/>
            <w:vAlign w:val="center"/>
          </w:tcPr>
          <w:p w14:paraId="506D8C49" w14:textId="77777777" w:rsidR="00CD484C" w:rsidRDefault="00CD484C">
            <w:pPr>
              <w:jc w:val="center"/>
              <w:rPr>
                <w:sz w:val="16"/>
                <w:szCs w:val="16"/>
              </w:rPr>
            </w:pPr>
            <w:r>
              <w:rPr>
                <w:sz w:val="16"/>
                <w:szCs w:val="16"/>
              </w:rPr>
              <w:t>61(61)</w:t>
            </w:r>
          </w:p>
        </w:tc>
        <w:tc>
          <w:tcPr>
            <w:tcW w:w="2248" w:type="dxa"/>
            <w:vAlign w:val="center"/>
          </w:tcPr>
          <w:p w14:paraId="15ABA563" w14:textId="77777777" w:rsidR="00CD484C" w:rsidRDefault="00CD484C">
            <w:pPr>
              <w:rPr>
                <w:sz w:val="16"/>
                <w:szCs w:val="16"/>
              </w:rPr>
            </w:pPr>
            <w:r>
              <w:rPr>
                <w:sz w:val="16"/>
                <w:szCs w:val="16"/>
              </w:rPr>
              <w:t xml:space="preserve">район Массалы, Азербайджан.  </w:t>
            </w:r>
          </w:p>
          <w:p w14:paraId="74F48AC6" w14:textId="77777777" w:rsidR="00CD484C" w:rsidRDefault="00CD484C">
            <w:pPr>
              <w:rPr>
                <w:sz w:val="16"/>
                <w:szCs w:val="16"/>
              </w:rPr>
            </w:pPr>
            <w:r>
              <w:rPr>
                <w:sz w:val="16"/>
                <w:szCs w:val="16"/>
              </w:rPr>
              <w:lastRenderedPageBreak/>
              <w:t>2-слойный клад с промежутком 60 лет. ММ: Руки и Адод ад-Дула с хал.ал Мути, Шираз.</w:t>
            </w:r>
          </w:p>
        </w:tc>
      </w:tr>
      <w:tr w:rsidR="00CD484C" w14:paraId="017F97DA" w14:textId="77777777">
        <w:trPr>
          <w:trHeight w:val="322"/>
          <w:jc w:val="center"/>
        </w:trPr>
        <w:tc>
          <w:tcPr>
            <w:tcW w:w="244" w:type="dxa"/>
            <w:tcBorders>
              <w:bottom w:val="single" w:sz="12" w:space="0" w:color="000000"/>
              <w:right w:val="single" w:sz="6" w:space="0" w:color="000000"/>
            </w:tcBorders>
            <w:vAlign w:val="center"/>
          </w:tcPr>
          <w:p w14:paraId="1F7348C3" w14:textId="77777777" w:rsidR="00CD484C" w:rsidRDefault="00CD484C">
            <w:pPr>
              <w:jc w:val="center"/>
              <w:rPr>
                <w:sz w:val="16"/>
                <w:szCs w:val="16"/>
              </w:rPr>
            </w:pPr>
            <w:r>
              <w:rPr>
                <w:sz w:val="16"/>
                <w:szCs w:val="16"/>
              </w:rPr>
              <w:lastRenderedPageBreak/>
              <w:t>3.</w:t>
            </w:r>
          </w:p>
        </w:tc>
        <w:tc>
          <w:tcPr>
            <w:tcW w:w="693" w:type="dxa"/>
            <w:tcBorders>
              <w:left w:val="nil"/>
              <w:bottom w:val="single" w:sz="12" w:space="0" w:color="000000"/>
            </w:tcBorders>
            <w:vAlign w:val="center"/>
          </w:tcPr>
          <w:p w14:paraId="24BB3403" w14:textId="77777777" w:rsidR="00CD484C" w:rsidRDefault="00CD484C">
            <w:pPr>
              <w:jc w:val="center"/>
              <w:rPr>
                <w:sz w:val="16"/>
                <w:szCs w:val="16"/>
              </w:rPr>
            </w:pPr>
            <w:r>
              <w:rPr>
                <w:sz w:val="16"/>
                <w:szCs w:val="16"/>
              </w:rPr>
              <w:t>мест.Яз-Кираги 1958 г.</w:t>
            </w:r>
          </w:p>
        </w:tc>
        <w:tc>
          <w:tcPr>
            <w:tcW w:w="720" w:type="dxa"/>
            <w:tcBorders>
              <w:bottom w:val="single" w:sz="12" w:space="0" w:color="000000"/>
            </w:tcBorders>
            <w:vAlign w:val="center"/>
          </w:tcPr>
          <w:p w14:paraId="3CC72265" w14:textId="77777777" w:rsidR="00CD484C" w:rsidRDefault="00CD484C">
            <w:pPr>
              <w:jc w:val="center"/>
              <w:rPr>
                <w:sz w:val="16"/>
                <w:szCs w:val="16"/>
              </w:rPr>
            </w:pPr>
            <w:r>
              <w:rPr>
                <w:sz w:val="16"/>
                <w:szCs w:val="16"/>
              </w:rPr>
              <w:t>342/953-4.</w:t>
            </w:r>
          </w:p>
          <w:p w14:paraId="3E7F4539" w14:textId="77777777" w:rsidR="00CD484C" w:rsidRDefault="00CD484C">
            <w:pPr>
              <w:jc w:val="center"/>
              <w:rPr>
                <w:sz w:val="16"/>
                <w:szCs w:val="16"/>
              </w:rPr>
            </w:pPr>
            <w:r>
              <w:rPr>
                <w:sz w:val="16"/>
                <w:szCs w:val="16"/>
              </w:rPr>
              <w:t>5 экз.</w:t>
            </w:r>
          </w:p>
        </w:tc>
        <w:tc>
          <w:tcPr>
            <w:tcW w:w="1080" w:type="dxa"/>
            <w:tcBorders>
              <w:bottom w:val="single" w:sz="12" w:space="0" w:color="000000"/>
            </w:tcBorders>
            <w:vAlign w:val="center"/>
          </w:tcPr>
          <w:p w14:paraId="338F6EF4" w14:textId="77777777" w:rsidR="00CD484C" w:rsidRDefault="00CD484C">
            <w:pPr>
              <w:jc w:val="center"/>
              <w:rPr>
                <w:sz w:val="16"/>
                <w:szCs w:val="16"/>
              </w:rPr>
            </w:pPr>
            <w:r>
              <w:rPr>
                <w:sz w:val="16"/>
                <w:szCs w:val="16"/>
              </w:rPr>
              <w:t>124/741-2</w:t>
            </w:r>
          </w:p>
        </w:tc>
        <w:tc>
          <w:tcPr>
            <w:tcW w:w="720" w:type="dxa"/>
            <w:tcBorders>
              <w:bottom w:val="single" w:sz="12" w:space="0" w:color="000000"/>
            </w:tcBorders>
            <w:vAlign w:val="center"/>
          </w:tcPr>
          <w:p w14:paraId="20A058EA" w14:textId="77777777" w:rsidR="00CD484C" w:rsidRDefault="00CD484C">
            <w:pPr>
              <w:jc w:val="center"/>
              <w:rPr>
                <w:sz w:val="16"/>
                <w:szCs w:val="16"/>
              </w:rPr>
            </w:pPr>
            <w:r>
              <w:rPr>
                <w:sz w:val="16"/>
                <w:szCs w:val="16"/>
              </w:rPr>
              <w:t>218</w:t>
            </w:r>
          </w:p>
        </w:tc>
        <w:tc>
          <w:tcPr>
            <w:tcW w:w="775" w:type="dxa"/>
            <w:tcBorders>
              <w:bottom w:val="single" w:sz="12" w:space="0" w:color="000000"/>
            </w:tcBorders>
            <w:vAlign w:val="center"/>
          </w:tcPr>
          <w:p w14:paraId="427FCD6B" w14:textId="77777777" w:rsidR="00CD484C" w:rsidRDefault="00CD484C">
            <w:pPr>
              <w:jc w:val="center"/>
              <w:rPr>
                <w:sz w:val="16"/>
                <w:szCs w:val="16"/>
              </w:rPr>
            </w:pPr>
            <w:r>
              <w:rPr>
                <w:sz w:val="16"/>
                <w:szCs w:val="16"/>
              </w:rPr>
              <w:t>ок.300</w:t>
            </w:r>
          </w:p>
          <w:p w14:paraId="3BF8557E" w14:textId="77777777" w:rsidR="00CD484C" w:rsidRDefault="00CD484C">
            <w:pPr>
              <w:jc w:val="center"/>
              <w:rPr>
                <w:sz w:val="16"/>
                <w:szCs w:val="16"/>
              </w:rPr>
            </w:pPr>
            <w:r>
              <w:rPr>
                <w:sz w:val="16"/>
                <w:szCs w:val="16"/>
              </w:rPr>
              <w:t>(225)</w:t>
            </w:r>
          </w:p>
        </w:tc>
        <w:tc>
          <w:tcPr>
            <w:tcW w:w="2248" w:type="dxa"/>
            <w:tcBorders>
              <w:bottom w:val="single" w:sz="12" w:space="0" w:color="000000"/>
            </w:tcBorders>
            <w:vAlign w:val="center"/>
          </w:tcPr>
          <w:p w14:paraId="40F49186" w14:textId="77777777" w:rsidR="00CD484C" w:rsidRDefault="00CD484C">
            <w:pPr>
              <w:rPr>
                <w:spacing w:val="-6"/>
                <w:sz w:val="16"/>
                <w:szCs w:val="16"/>
              </w:rPr>
            </w:pPr>
            <w:r>
              <w:rPr>
                <w:spacing w:val="-6"/>
                <w:sz w:val="16"/>
                <w:szCs w:val="16"/>
              </w:rPr>
              <w:t>Там же у с.Алвади; сасанидские монеты не учитываются. 5 ММ: ал-Басра; ал-Ахваз-Арраджан-Шираз; Нисабур.</w:t>
            </w:r>
          </w:p>
        </w:tc>
      </w:tr>
    </w:tbl>
    <w:p w14:paraId="16F13554" w14:textId="77777777" w:rsidR="00CD484C" w:rsidRDefault="00CD484C">
      <w:pPr>
        <w:ind w:firstLine="397"/>
        <w:jc w:val="both"/>
        <w:rPr>
          <w:sz w:val="20"/>
          <w:szCs w:val="16"/>
        </w:rPr>
      </w:pPr>
    </w:p>
    <w:p w14:paraId="3E9794A9" w14:textId="77777777" w:rsidR="00CD484C" w:rsidRDefault="00CD484C">
      <w:pPr>
        <w:ind w:firstLine="397"/>
        <w:jc w:val="both"/>
        <w:rPr>
          <w:sz w:val="20"/>
          <w:szCs w:val="16"/>
        </w:rPr>
      </w:pPr>
      <w:r>
        <w:rPr>
          <w:sz w:val="20"/>
          <w:szCs w:val="16"/>
        </w:rPr>
        <w:t xml:space="preserve">Уже предварительное изучение составов кладов показало значительный источниковый потенциал, требующий самого тщательного изучения.  Поэтому в рамках данной работы мы рассмотрим лишь общие вопросы, денежного обращения Закавказья, на основе анализа, а затем и синтеза хронологического, династийного и эмиссионного распределений составов кладов Закавказья. При этом следует пользоваться хорошо апробированной методикой изучения кладов, прежде всего кладов с куфическим монетами, разработанные В.Л. Яниным, доказавшим на основе изучения хронологического состава русских кладов состояние и динамику денежного обращения на Руси, выявивший аналогичные закономерности распространения восточного серебра на основе синтеза методик хронологического и династийного распределений (Янин В.Л., 1956. – С. 69; 121–122). Рассматривая, например, изменения династийного составов русских кладов, В.Л. Янин, в частности, установил, что в процессе перемещения монетного потока в северном  и западном направлениях дальше в Европу в результате внутреннего денежного обращения, он насыщается монетами сменявших друг друга династий на Востоке, которые зачастую перекрывая образовывают «свои неповторимые сочетания монет разных династий»  (Янин В.Л., 1956. – С. 69). </w:t>
      </w:r>
    </w:p>
    <w:p w14:paraId="582EDEC3" w14:textId="77777777" w:rsidR="00CD484C" w:rsidRDefault="00CD484C">
      <w:pPr>
        <w:ind w:firstLine="397"/>
        <w:jc w:val="both"/>
        <w:rPr>
          <w:spacing w:val="-4"/>
          <w:sz w:val="20"/>
          <w:szCs w:val="16"/>
        </w:rPr>
      </w:pPr>
      <w:r>
        <w:rPr>
          <w:spacing w:val="-4"/>
          <w:sz w:val="20"/>
          <w:szCs w:val="16"/>
        </w:rPr>
        <w:t>Как установлено, в русском денежного обращения с 10-х гг. Х в. 90% монет составили монеты Саманидов, на втором, начиная с 30-х гг. – Бувейхидов и Зияридов (Янин В.Л., 1956. – С. 122, 136), называемая в западной историографии «Саманидской эрой» (Noonan Th.S., 2000. – Р. 383, 384).</w:t>
      </w:r>
    </w:p>
    <w:p w14:paraId="1924CC63" w14:textId="1F9D1A7B" w:rsidR="00CD484C" w:rsidRDefault="00CD484C">
      <w:pPr>
        <w:ind w:firstLine="397"/>
        <w:jc w:val="both"/>
        <w:rPr>
          <w:sz w:val="20"/>
          <w:szCs w:val="16"/>
        </w:rPr>
      </w:pPr>
      <w:r>
        <w:rPr>
          <w:sz w:val="20"/>
          <w:szCs w:val="16"/>
        </w:rPr>
        <w:t>Несмотря на принадлежность кладов к разным денежным рынкам, что устанавливается топографически – их образование следует рассмат</w:t>
      </w:r>
      <w:r w:rsidR="00395416">
        <w:rPr>
          <w:noProof/>
          <w:sz w:val="20"/>
          <w:szCs w:val="16"/>
        </w:rPr>
        <mc:AlternateContent>
          <mc:Choice Requires="wps">
            <w:drawing>
              <wp:anchor distT="0" distB="0" distL="114300" distR="114300" simplePos="0" relativeHeight="251654656" behindDoc="0" locked="1" layoutInCell="1" allowOverlap="1" wp14:anchorId="26257F63" wp14:editId="7E79BEE4">
                <wp:simplePos x="0" y="0"/>
                <wp:positionH relativeFrom="column">
                  <wp:align>center</wp:align>
                </wp:positionH>
                <wp:positionV relativeFrom="paragraph">
                  <wp:posOffset>-294640</wp:posOffset>
                </wp:positionV>
                <wp:extent cx="4095750" cy="186690"/>
                <wp:effectExtent l="1905" t="0" r="0" b="0"/>
                <wp:wrapNone/>
                <wp:docPr id="1546690008"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CFD8F"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5B2816F0"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57F63" id="Text Box 212" o:spid="_x0000_s1060" type="#_x0000_t202" style="position:absolute;left:0;text-align:left;margin-left:0;margin-top:-23.2pt;width:322.5pt;height:14.7pt;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" stroked="f">
                <v:textbox inset="0,0,0,0">
                  <w:txbxContent>
                    <w:p w14:paraId="28CCFD8F"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5B2816F0" w14:textId="77777777" w:rsidR="00AE2133" w:rsidRDefault="00AE2133">
                      <w:pPr>
                        <w:rPr>
                          <w:b/>
                          <w:bCs/>
                          <w:sz w:val="2"/>
                          <w:u w:val="single"/>
                        </w:rPr>
                      </w:pPr>
                    </w:p>
                  </w:txbxContent>
                </v:textbox>
                <w10:anchorlock/>
              </v:shape>
            </w:pict>
          </mc:Fallback>
        </mc:AlternateContent>
      </w:r>
      <w:r>
        <w:rPr>
          <w:sz w:val="20"/>
          <w:szCs w:val="16"/>
        </w:rPr>
        <w:t>ривать как депозиты, характеризующие постепенное обновление-накопление денежных средств местным населением – в предгорьях Арарата и Муганской равнины /Табл.1; Рис. 1/, происходящее по нашему мнению на одних в тех закономерностях, связанных, как отмечено А.В. Фоминым  на мощности стартового импульса чеканки в городах-эмитентах куфической монеты.</w:t>
      </w:r>
    </w:p>
    <w:p w14:paraId="33C1BADF" w14:textId="77777777" w:rsidR="00CD484C" w:rsidRDefault="00CD484C">
      <w:pPr>
        <w:ind w:firstLine="397"/>
        <w:jc w:val="both"/>
        <w:rPr>
          <w:sz w:val="20"/>
          <w:szCs w:val="16"/>
        </w:rPr>
      </w:pPr>
    </w:p>
    <w:p w14:paraId="2A2ACCBD" w14:textId="77777777" w:rsidR="00CD484C" w:rsidRDefault="00CD484C">
      <w:pPr>
        <w:ind w:hanging="180"/>
        <w:jc w:val="center"/>
        <w:rPr>
          <w:sz w:val="20"/>
          <w:szCs w:val="16"/>
        </w:rPr>
      </w:pPr>
      <w:r>
        <w:rPr>
          <w:sz w:val="20"/>
          <w:szCs w:val="16"/>
        </w:rPr>
        <w:object w:dxaOrig="10650" w:dyaOrig="8475" w14:anchorId="50EE2536">
          <v:shape id="_x0000_i1028" type="#_x0000_t75" style="width:325.5pt;height:258pt" o:ole="">
            <v:imagedata r:id="rId38" o:title=""/>
          </v:shape>
          <o:OLEObject Type="Embed" ProgID="PBrush" ShapeID="_x0000_i1028" DrawAspect="Content" ObjectID="_1816884168" r:id="rId39"/>
        </w:object>
      </w:r>
    </w:p>
    <w:p w14:paraId="46FD2C53" w14:textId="77777777" w:rsidR="00CD484C" w:rsidRDefault="00CD484C">
      <w:pPr>
        <w:ind w:firstLine="397"/>
        <w:jc w:val="center"/>
        <w:rPr>
          <w:i/>
          <w:iCs/>
          <w:sz w:val="20"/>
          <w:szCs w:val="16"/>
        </w:rPr>
      </w:pPr>
    </w:p>
    <w:p w14:paraId="799A58CC" w14:textId="77777777" w:rsidR="00CD484C" w:rsidRDefault="00CD484C">
      <w:pPr>
        <w:jc w:val="center"/>
        <w:rPr>
          <w:i/>
          <w:iCs/>
          <w:sz w:val="18"/>
          <w:szCs w:val="16"/>
        </w:rPr>
      </w:pPr>
      <w:r>
        <w:rPr>
          <w:b/>
          <w:bCs/>
          <w:i/>
          <w:iCs/>
          <w:sz w:val="18"/>
          <w:szCs w:val="16"/>
        </w:rPr>
        <w:t>Рис.1.</w:t>
      </w:r>
      <w:r>
        <w:rPr>
          <w:i/>
          <w:iCs/>
          <w:sz w:val="18"/>
          <w:szCs w:val="16"/>
        </w:rPr>
        <w:t xml:space="preserve"> Карта-схема поступления серебра в Закавказье в первой половине Х в.</w:t>
      </w:r>
    </w:p>
    <w:p w14:paraId="314D727C" w14:textId="77777777" w:rsidR="00CD484C" w:rsidRDefault="00CD484C">
      <w:pPr>
        <w:jc w:val="both"/>
        <w:rPr>
          <w:i/>
          <w:iCs/>
          <w:sz w:val="18"/>
          <w:szCs w:val="16"/>
        </w:rPr>
      </w:pPr>
      <w:r>
        <w:rPr>
          <w:b/>
          <w:bCs/>
          <w:i/>
          <w:iCs/>
          <w:sz w:val="18"/>
          <w:szCs w:val="16"/>
        </w:rPr>
        <w:t>а</w:t>
      </w:r>
      <w:r>
        <w:rPr>
          <w:i/>
          <w:iCs/>
          <w:sz w:val="18"/>
          <w:szCs w:val="16"/>
        </w:rPr>
        <w:t xml:space="preserve"> – монетные дворы; </w:t>
      </w:r>
    </w:p>
    <w:p w14:paraId="032DD9F0" w14:textId="77777777" w:rsidR="00CD484C" w:rsidRDefault="00CD484C">
      <w:pPr>
        <w:tabs>
          <w:tab w:val="left" w:pos="2340"/>
        </w:tabs>
        <w:jc w:val="both"/>
        <w:rPr>
          <w:i/>
          <w:iCs/>
          <w:sz w:val="18"/>
          <w:szCs w:val="16"/>
        </w:rPr>
      </w:pPr>
      <w:r>
        <w:rPr>
          <w:b/>
          <w:bCs/>
          <w:i/>
          <w:iCs/>
          <w:sz w:val="18"/>
          <w:szCs w:val="16"/>
        </w:rPr>
        <w:t>б</w:t>
      </w:r>
      <w:r>
        <w:rPr>
          <w:i/>
          <w:iCs/>
          <w:sz w:val="18"/>
          <w:szCs w:val="16"/>
        </w:rPr>
        <w:t xml:space="preserve"> – клады: 1 – Бзован; 2 – Яз-Кираги; 3 – Банбаши; 4 – Красный десант. </w:t>
      </w:r>
    </w:p>
    <w:p w14:paraId="110E8C54" w14:textId="77777777" w:rsidR="00CD484C" w:rsidRDefault="00CD484C">
      <w:pPr>
        <w:jc w:val="both"/>
        <w:rPr>
          <w:i/>
          <w:iCs/>
          <w:sz w:val="18"/>
          <w:szCs w:val="16"/>
        </w:rPr>
      </w:pPr>
      <w:r>
        <w:rPr>
          <w:b/>
          <w:bCs/>
          <w:i/>
          <w:iCs/>
          <w:sz w:val="18"/>
          <w:szCs w:val="16"/>
        </w:rPr>
        <w:t>в</w:t>
      </w:r>
      <w:r>
        <w:rPr>
          <w:i/>
          <w:iCs/>
          <w:sz w:val="18"/>
          <w:szCs w:val="16"/>
        </w:rPr>
        <w:t xml:space="preserve"> – направление бувейхидского потока; </w:t>
      </w:r>
    </w:p>
    <w:p w14:paraId="762A3893" w14:textId="77777777" w:rsidR="00CD484C" w:rsidRDefault="00CD484C">
      <w:pPr>
        <w:jc w:val="both"/>
        <w:rPr>
          <w:i/>
          <w:iCs/>
          <w:sz w:val="18"/>
          <w:szCs w:val="16"/>
        </w:rPr>
      </w:pPr>
      <w:r>
        <w:rPr>
          <w:b/>
          <w:bCs/>
          <w:i/>
          <w:iCs/>
          <w:sz w:val="18"/>
          <w:szCs w:val="16"/>
        </w:rPr>
        <w:t>г –</w:t>
      </w:r>
      <w:r>
        <w:rPr>
          <w:i/>
          <w:iCs/>
          <w:sz w:val="18"/>
          <w:szCs w:val="16"/>
        </w:rPr>
        <w:t xml:space="preserve"> путь монет Андераба  на Запад в конце IX в.;</w:t>
      </w:r>
    </w:p>
    <w:p w14:paraId="4CC949E0" w14:textId="77777777" w:rsidR="00CD484C" w:rsidRDefault="00CD484C">
      <w:pPr>
        <w:jc w:val="both"/>
        <w:rPr>
          <w:i/>
          <w:iCs/>
          <w:sz w:val="18"/>
          <w:szCs w:val="16"/>
        </w:rPr>
      </w:pPr>
      <w:r>
        <w:rPr>
          <w:b/>
          <w:bCs/>
          <w:i/>
          <w:iCs/>
          <w:sz w:val="18"/>
          <w:szCs w:val="16"/>
        </w:rPr>
        <w:t>д</w:t>
      </w:r>
      <w:r>
        <w:rPr>
          <w:i/>
          <w:iCs/>
          <w:sz w:val="18"/>
          <w:szCs w:val="16"/>
        </w:rPr>
        <w:t xml:space="preserve"> –  направление тахиридского потока ; </w:t>
      </w:r>
    </w:p>
    <w:p w14:paraId="6123F48F" w14:textId="77777777" w:rsidR="00CD484C" w:rsidRDefault="00CD484C">
      <w:pPr>
        <w:jc w:val="both"/>
        <w:rPr>
          <w:i/>
          <w:iCs/>
          <w:sz w:val="18"/>
          <w:szCs w:val="16"/>
        </w:rPr>
      </w:pPr>
      <w:r>
        <w:rPr>
          <w:b/>
          <w:bCs/>
          <w:i/>
          <w:iCs/>
          <w:sz w:val="18"/>
          <w:szCs w:val="16"/>
        </w:rPr>
        <w:t>е</w:t>
      </w:r>
      <w:r>
        <w:rPr>
          <w:i/>
          <w:iCs/>
          <w:sz w:val="18"/>
          <w:szCs w:val="16"/>
        </w:rPr>
        <w:t xml:space="preserve"> – путь монет клада Красный десант;  </w:t>
      </w:r>
    </w:p>
    <w:p w14:paraId="3B69F827" w14:textId="77777777" w:rsidR="00CD484C" w:rsidRDefault="00CD484C">
      <w:pPr>
        <w:jc w:val="both"/>
        <w:rPr>
          <w:i/>
          <w:iCs/>
          <w:sz w:val="18"/>
          <w:szCs w:val="16"/>
        </w:rPr>
      </w:pPr>
      <w:r>
        <w:rPr>
          <w:b/>
          <w:bCs/>
          <w:i/>
          <w:iCs/>
          <w:sz w:val="18"/>
          <w:szCs w:val="16"/>
        </w:rPr>
        <w:t>ж</w:t>
      </w:r>
      <w:r>
        <w:rPr>
          <w:i/>
          <w:iCs/>
          <w:sz w:val="18"/>
          <w:szCs w:val="16"/>
        </w:rPr>
        <w:t xml:space="preserve"> – путь саманидского дирхема на Запад; </w:t>
      </w:r>
    </w:p>
    <w:p w14:paraId="6B61C0B7" w14:textId="77777777" w:rsidR="00CD484C" w:rsidRDefault="00CD484C">
      <w:pPr>
        <w:jc w:val="both"/>
        <w:rPr>
          <w:i/>
          <w:iCs/>
          <w:sz w:val="18"/>
          <w:szCs w:val="16"/>
        </w:rPr>
      </w:pPr>
      <w:r>
        <w:rPr>
          <w:b/>
          <w:bCs/>
          <w:i/>
          <w:iCs/>
          <w:sz w:val="18"/>
          <w:szCs w:val="16"/>
        </w:rPr>
        <w:t>з –</w:t>
      </w:r>
      <w:r>
        <w:rPr>
          <w:i/>
          <w:iCs/>
          <w:sz w:val="18"/>
          <w:szCs w:val="16"/>
        </w:rPr>
        <w:t xml:space="preserve"> путь грузинской монеты.</w:t>
      </w:r>
    </w:p>
    <w:p w14:paraId="202B1070" w14:textId="77777777" w:rsidR="00CD484C" w:rsidRDefault="00CD484C">
      <w:pPr>
        <w:jc w:val="both"/>
        <w:rPr>
          <w:sz w:val="18"/>
          <w:szCs w:val="16"/>
        </w:rPr>
      </w:pPr>
    </w:p>
    <w:p w14:paraId="2F225827" w14:textId="77777777" w:rsidR="00CD484C" w:rsidRDefault="00CD484C">
      <w:pPr>
        <w:ind w:firstLine="397"/>
        <w:jc w:val="both"/>
        <w:rPr>
          <w:color w:val="000000"/>
          <w:sz w:val="20"/>
          <w:szCs w:val="16"/>
        </w:rPr>
      </w:pPr>
      <w:r>
        <w:rPr>
          <w:sz w:val="20"/>
          <w:szCs w:val="16"/>
        </w:rPr>
        <w:t xml:space="preserve">В триаде Закавказских кладов кл. Бзован /Рис. 1, </w:t>
      </w:r>
      <w:r>
        <w:rPr>
          <w:i/>
          <w:sz w:val="20"/>
          <w:szCs w:val="16"/>
        </w:rPr>
        <w:t>1;</w:t>
      </w:r>
      <w:r>
        <w:rPr>
          <w:sz w:val="20"/>
          <w:szCs w:val="16"/>
        </w:rPr>
        <w:t xml:space="preserve"> 2/ самый ранний ММ-324/935-6 гг. – представлен безусловно чеканом Аббасидов. Монеты младшей хронологической группы (ХГ) составляют </w:t>
      </w:r>
      <w:r>
        <w:rPr>
          <w:color w:val="000000"/>
          <w:sz w:val="20"/>
          <w:szCs w:val="16"/>
        </w:rPr>
        <w:t xml:space="preserve">12 экз.(57%) имеют 4-х кратное превышение над предшествующей хроногруплой, являются здесь определяющими, подтверждая, к тому же, мысль о мощном всплеске эмиссии монет халифскими монетными дворами в период 927–936 гг. Если в предшествующие ХГ, кроме младшей  столица халифата выпустила едва 10% всего денежного обращения, отложившегося в кладе Бзован, то в младшей  группе монет – имеется ввиду аббасидский чекан – Мадинат-ас-Слам </w:t>
      </w:r>
      <w:r>
        <w:rPr>
          <w:color w:val="000000"/>
          <w:sz w:val="20"/>
          <w:szCs w:val="16"/>
        </w:rPr>
        <w:lastRenderedPageBreak/>
        <w:t>отчеканил половину всех выпущенных монет – насколько это соответствует реальному положению посмотрим в сравнении с другими кладами</w:t>
      </w:r>
      <w:r>
        <w:rPr>
          <w:rStyle w:val="a6"/>
          <w:color w:val="000000"/>
          <w:sz w:val="20"/>
          <w:szCs w:val="16"/>
        </w:rPr>
        <w:footnoteReference w:customMarkFollows="1" w:id="48"/>
        <w:t>1</w:t>
      </w:r>
      <w:r>
        <w:rPr>
          <w:color w:val="000000"/>
          <w:sz w:val="20"/>
          <w:szCs w:val="16"/>
        </w:rPr>
        <w:t>.</w:t>
      </w:r>
    </w:p>
    <w:p w14:paraId="539CA43D" w14:textId="77777777" w:rsidR="00CD484C" w:rsidRDefault="00CD484C">
      <w:pPr>
        <w:ind w:firstLine="397"/>
        <w:jc w:val="both"/>
        <w:rPr>
          <w:color w:val="000000"/>
          <w:sz w:val="20"/>
          <w:szCs w:val="16"/>
        </w:rPr>
      </w:pPr>
    </w:p>
    <w:p w14:paraId="3B558A5B" w14:textId="0D274A20" w:rsidR="00CD484C" w:rsidRDefault="00395416">
      <w:pPr>
        <w:pStyle w:val="a8"/>
        <w:spacing w:before="0" w:after="0"/>
        <w:jc w:val="center"/>
        <w:rPr>
          <w:rFonts w:ascii="Times New Roman" w:hAnsi="Times New Roman"/>
          <w:b w:val="0"/>
          <w:sz w:val="20"/>
          <w:szCs w:val="16"/>
        </w:rPr>
      </w:pPr>
      <w:r>
        <w:rPr>
          <w:rFonts w:ascii="Times New Roman" w:hAnsi="Times New Roman"/>
          <w:noProof/>
          <w:sz w:val="20"/>
          <w:szCs w:val="16"/>
        </w:rPr>
        <w:drawing>
          <wp:inline distT="0" distB="0" distL="0" distR="0" wp14:anchorId="5B167111" wp14:editId="1FAEBA21">
            <wp:extent cx="3619500" cy="1959610"/>
            <wp:effectExtent l="0" t="0" r="0" b="0"/>
            <wp:docPr id="25"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BA9A8DD" w14:textId="77777777" w:rsidR="00CD484C" w:rsidRDefault="00CD484C">
      <w:pPr>
        <w:pStyle w:val="a8"/>
        <w:spacing w:before="0" w:after="0"/>
        <w:ind w:firstLine="397"/>
        <w:jc w:val="center"/>
        <w:rPr>
          <w:rFonts w:ascii="Times New Roman" w:hAnsi="Times New Roman"/>
          <w:b w:val="0"/>
          <w:i/>
          <w:iCs/>
          <w:sz w:val="20"/>
          <w:szCs w:val="16"/>
        </w:rPr>
      </w:pPr>
    </w:p>
    <w:p w14:paraId="16BFFE07" w14:textId="77777777" w:rsidR="00CD484C" w:rsidRDefault="00CD484C">
      <w:pPr>
        <w:pStyle w:val="a8"/>
        <w:spacing w:before="0" w:after="0"/>
        <w:jc w:val="center"/>
        <w:rPr>
          <w:rFonts w:ascii="Times New Roman" w:hAnsi="Times New Roman"/>
          <w:b w:val="0"/>
          <w:i/>
          <w:iCs/>
          <w:sz w:val="18"/>
          <w:szCs w:val="16"/>
        </w:rPr>
      </w:pPr>
      <w:r>
        <w:rPr>
          <w:rFonts w:ascii="Times New Roman" w:hAnsi="Times New Roman"/>
          <w:bCs/>
          <w:i/>
          <w:iCs/>
          <w:sz w:val="18"/>
          <w:szCs w:val="16"/>
        </w:rPr>
        <w:t>Рис. 2.</w:t>
      </w:r>
      <w:r>
        <w:rPr>
          <w:rFonts w:ascii="Times New Roman" w:hAnsi="Times New Roman"/>
          <w:b w:val="0"/>
          <w:i/>
          <w:iCs/>
          <w:sz w:val="18"/>
          <w:szCs w:val="16"/>
        </w:rPr>
        <w:t xml:space="preserve">  Клад Бзован 1955 г. (Армения). Хронолого-династийное распределение. </w:t>
      </w:r>
      <w:r>
        <w:rPr>
          <w:rFonts w:ascii="Times New Roman" w:hAnsi="Times New Roman"/>
          <w:b w:val="0"/>
          <w:i/>
          <w:iCs/>
          <w:sz w:val="18"/>
          <w:szCs w:val="16"/>
        </w:rPr>
        <w:br/>
        <w:t>(21 монеты по Е.А. Пахомову и Е.А. Мушегяну)</w:t>
      </w:r>
    </w:p>
    <w:p w14:paraId="5E8120EB" w14:textId="77777777" w:rsidR="00CD484C" w:rsidRDefault="00CD484C">
      <w:pPr>
        <w:ind w:firstLine="397"/>
        <w:jc w:val="both"/>
        <w:rPr>
          <w:color w:val="000000"/>
          <w:sz w:val="20"/>
          <w:szCs w:val="16"/>
        </w:rPr>
      </w:pPr>
    </w:p>
    <w:p w14:paraId="1AD8B110" w14:textId="77777777" w:rsidR="00CD484C" w:rsidRDefault="00CD484C">
      <w:pPr>
        <w:ind w:firstLine="397"/>
        <w:jc w:val="both"/>
        <w:rPr>
          <w:sz w:val="20"/>
          <w:szCs w:val="16"/>
        </w:rPr>
      </w:pPr>
      <w:r>
        <w:rPr>
          <w:color w:val="000000"/>
          <w:sz w:val="20"/>
          <w:szCs w:val="16"/>
        </w:rPr>
        <w:t>Весьма интересными представляется изучение синхронно выпавших азербайджанских кладов Банбаши и Яз-Кираги с датой ММ 342 г. /Рис. 1. № 3, 2/. В русском денежном обращении синхронные клады, как установил В.Л. Янин (1056, с.66), имеют разный хронологический спектр, что позволило, в свою очередь А.В. Фомину (1983а. – С. 77–79) выявить типологию данных кладов, которая адекватно  увязывается с моментными потоками.</w:t>
      </w:r>
    </w:p>
    <w:p w14:paraId="060D768D" w14:textId="77777777" w:rsidR="00CD484C" w:rsidRDefault="00CD484C">
      <w:pPr>
        <w:ind w:firstLine="397"/>
        <w:jc w:val="both"/>
        <w:rPr>
          <w:sz w:val="20"/>
          <w:szCs w:val="16"/>
        </w:rPr>
      </w:pPr>
      <w:r>
        <w:rPr>
          <w:sz w:val="20"/>
          <w:szCs w:val="16"/>
        </w:rPr>
        <w:t>В кладе Банбаши 1948 г. представлены в основном монетами трех династий Аббасидской (39 монет ММ 328 г.х. – Мадинат-ас-Салам), Буидской (12 монет. 325–342 гг. ММ Шираз) и Саманидами (5 монет. 324–330 гг. ММ – ал-Мухамадия). /Прочие – 5/. /Рис. 3/.</w:t>
      </w:r>
    </w:p>
    <w:p w14:paraId="4D89BA7E" w14:textId="1D6EDCB0" w:rsidR="00CD484C" w:rsidRDefault="00395416">
      <w:pPr>
        <w:pStyle w:val="21"/>
        <w:ind w:firstLine="0"/>
        <w:jc w:val="center"/>
        <w:rPr>
          <w:szCs w:val="16"/>
          <w:lang w:val="ru-RU"/>
        </w:rPr>
      </w:pPr>
      <w:r>
        <w:rPr>
          <w:noProof/>
          <w:szCs w:val="16"/>
          <w:lang w:val="ru-RU"/>
        </w:rPr>
        <w:lastRenderedPageBreak/>
        <w:drawing>
          <wp:inline distT="0" distB="0" distL="0" distR="0" wp14:anchorId="06FC7AF6" wp14:editId="0EFD1081">
            <wp:extent cx="3619500" cy="1959610"/>
            <wp:effectExtent l="0" t="0" r="0" b="0"/>
            <wp:docPr id="26" name="Объект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7C44140" w14:textId="36058B2D" w:rsidR="00CD484C" w:rsidRDefault="00395416">
      <w:pPr>
        <w:pStyle w:val="21"/>
        <w:ind w:firstLine="397"/>
        <w:rPr>
          <w:i/>
          <w:iCs/>
          <w:szCs w:val="16"/>
          <w:lang w:val="ru-RU"/>
        </w:rPr>
      </w:pPr>
      <w:r>
        <w:rPr>
          <w:i/>
          <w:iCs/>
          <w:noProof/>
          <w:szCs w:val="16"/>
          <w:lang w:val="ru-RU"/>
        </w:rPr>
        <mc:AlternateContent>
          <mc:Choice Requires="wps">
            <w:drawing>
              <wp:anchor distT="0" distB="0" distL="114300" distR="114300" simplePos="0" relativeHeight="251655680" behindDoc="0" locked="1" layoutInCell="1" allowOverlap="1" wp14:anchorId="0794C6BF" wp14:editId="1B2A04C4">
                <wp:simplePos x="0" y="0"/>
                <wp:positionH relativeFrom="column">
                  <wp:posOffset>0</wp:posOffset>
                </wp:positionH>
                <wp:positionV relativeFrom="paragraph">
                  <wp:posOffset>-2214245</wp:posOffset>
                </wp:positionV>
                <wp:extent cx="4095750" cy="186690"/>
                <wp:effectExtent l="0" t="1905" r="3810" b="1905"/>
                <wp:wrapNone/>
                <wp:docPr id="179969134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94932"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40B9E997"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4C6BF" id="Text Box 214" o:spid="_x0000_s1061" type="#_x0000_t202" style="position:absolute;left:0;text-align:left;margin-left:0;margin-top:-174.35pt;width:322.5pt;height:1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" stroked="f">
                <v:textbox inset="0,0,0,0">
                  <w:txbxContent>
                    <w:p w14:paraId="50394932"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40B9E997" w14:textId="77777777" w:rsidR="00AE2133" w:rsidRDefault="00AE2133">
                      <w:pPr>
                        <w:rPr>
                          <w:b/>
                          <w:bCs/>
                          <w:sz w:val="2"/>
                          <w:u w:val="single"/>
                        </w:rPr>
                      </w:pPr>
                    </w:p>
                  </w:txbxContent>
                </v:textbox>
                <w10:anchorlock/>
              </v:shape>
            </w:pict>
          </mc:Fallback>
        </mc:AlternateContent>
      </w:r>
    </w:p>
    <w:p w14:paraId="7F08070B" w14:textId="77777777" w:rsidR="00CD484C" w:rsidRDefault="00CD484C">
      <w:pPr>
        <w:pStyle w:val="21"/>
        <w:ind w:firstLine="0"/>
        <w:jc w:val="center"/>
        <w:rPr>
          <w:i/>
          <w:iCs/>
          <w:sz w:val="18"/>
          <w:szCs w:val="16"/>
          <w:lang w:val="ru-RU"/>
        </w:rPr>
      </w:pPr>
      <w:r>
        <w:rPr>
          <w:b/>
          <w:bCs/>
          <w:i/>
          <w:iCs/>
          <w:sz w:val="18"/>
          <w:szCs w:val="16"/>
          <w:lang w:val="ru-RU"/>
        </w:rPr>
        <w:t>Рис. 3.</w:t>
      </w:r>
      <w:r>
        <w:rPr>
          <w:i/>
          <w:iCs/>
          <w:sz w:val="18"/>
          <w:szCs w:val="16"/>
          <w:lang w:val="ru-RU"/>
        </w:rPr>
        <w:t xml:space="preserve"> Клад Банбаши 1948 г. Хронолого-династийное распределение</w:t>
      </w:r>
    </w:p>
    <w:p w14:paraId="7203262E" w14:textId="77777777" w:rsidR="00CD484C" w:rsidRDefault="00CD484C">
      <w:pPr>
        <w:pStyle w:val="a7"/>
        <w:ind w:firstLine="397"/>
        <w:rPr>
          <w:sz w:val="20"/>
          <w:szCs w:val="16"/>
          <w:lang w:val="ru-RU"/>
        </w:rPr>
      </w:pPr>
    </w:p>
    <w:p w14:paraId="7DDCB635" w14:textId="77777777" w:rsidR="00CD484C" w:rsidRDefault="00CD484C">
      <w:pPr>
        <w:pStyle w:val="a7"/>
        <w:ind w:firstLine="397"/>
        <w:rPr>
          <w:sz w:val="20"/>
          <w:szCs w:val="16"/>
          <w:lang w:val="ru-RU"/>
        </w:rPr>
      </w:pPr>
      <w:r>
        <w:rPr>
          <w:sz w:val="20"/>
          <w:szCs w:val="16"/>
          <w:lang w:val="ru-RU"/>
        </w:rPr>
        <w:t>Согласно методике анализа хронологического состава кладов с куфическими  монетами, разработанной В.Л. Яниным (1956. – С. 65–66), отсечем старшие монеты, отчеканенные 191–253 гг.х., которые рассмотрим отдельно. Три младшие хронологические группы клада Банбаши, насчитывающие 38 монет составляют около 62,28%, характеризуют наиболее динамично изменяемую часть клада. При этом обращает внимание на превалирование средней группы над  собственно младшей как 19/8 (2,375). Но, если мы рассмотрим постаббасидскую часть клада, то налицо превалирование младшей ХГ над предшествующей, представленной в данном кладе монетами Буидов перед чеканом Саманидов. Однако, это не повлияло на общую картину клада и позволяет высказать предположение о транзитности саманидской чеканки в данном районе Закавказья при затухающей чеканки Аббасидов.</w:t>
      </w:r>
    </w:p>
    <w:p w14:paraId="17470711" w14:textId="77777777" w:rsidR="00CD484C" w:rsidRDefault="00CD484C">
      <w:pPr>
        <w:ind w:firstLine="397"/>
        <w:jc w:val="both"/>
        <w:rPr>
          <w:sz w:val="20"/>
          <w:szCs w:val="16"/>
        </w:rPr>
      </w:pPr>
      <w:r>
        <w:rPr>
          <w:sz w:val="20"/>
          <w:szCs w:val="16"/>
        </w:rPr>
        <w:t xml:space="preserve">Топографическая ситуация с кладами Азербайджана позволяет утверждать, что кл. Яз-Кираги /Рис. 1, </w:t>
      </w:r>
      <w:r>
        <w:rPr>
          <w:i/>
          <w:sz w:val="20"/>
          <w:szCs w:val="16"/>
        </w:rPr>
        <w:t>2</w:t>
      </w:r>
      <w:r>
        <w:rPr>
          <w:sz w:val="20"/>
          <w:szCs w:val="16"/>
        </w:rPr>
        <w:t>/, как северный был более зависим от близлежащего источника пополнения монеты – его хронологический диапазон и насыщенность редкими монетами Умера, Веджихидов Омана</w:t>
      </w:r>
      <w:r>
        <w:rPr>
          <w:rStyle w:val="a6"/>
          <w:sz w:val="20"/>
          <w:szCs w:val="16"/>
        </w:rPr>
        <w:footnoteReference w:customMarkFollows="1" w:id="49"/>
        <w:t>2</w:t>
      </w:r>
      <w:r>
        <w:rPr>
          <w:sz w:val="20"/>
          <w:szCs w:val="16"/>
        </w:rPr>
        <w:t>, при превышении младшей хроногруппы над предшествующей, что в сравнении с кладом Банбаши и учетом топографии, взаимного расположения позволяет предположить о транзитности бувейхидского и, прежде всего, саманидского чеканов, отложившихся в кл. Яз-Кираги. (При постепенной как и в вышерассмотренном кладе затухающей чеканки  династии Аббасидов). /Рис.4/.</w:t>
      </w:r>
    </w:p>
    <w:p w14:paraId="1AE6DBBD" w14:textId="2AAEFF6A" w:rsidR="00CD484C" w:rsidRDefault="00395416">
      <w:pPr>
        <w:jc w:val="center"/>
        <w:rPr>
          <w:sz w:val="20"/>
          <w:szCs w:val="16"/>
        </w:rPr>
      </w:pPr>
      <w:r>
        <w:rPr>
          <w:noProof/>
          <w:sz w:val="20"/>
          <w:szCs w:val="16"/>
        </w:rPr>
        <w:lastRenderedPageBreak/>
        <mc:AlternateContent>
          <mc:Choice Requires="wps">
            <w:drawing>
              <wp:anchor distT="0" distB="0" distL="114300" distR="114300" simplePos="0" relativeHeight="251615744" behindDoc="0" locked="0" layoutInCell="1" allowOverlap="1" wp14:anchorId="71992F54" wp14:editId="6A64737A">
                <wp:simplePos x="0" y="0"/>
                <wp:positionH relativeFrom="column">
                  <wp:posOffset>1143000</wp:posOffset>
                </wp:positionH>
                <wp:positionV relativeFrom="paragraph">
                  <wp:posOffset>123190</wp:posOffset>
                </wp:positionV>
                <wp:extent cx="1828800" cy="228600"/>
                <wp:effectExtent l="0" t="635" r="2540" b="0"/>
                <wp:wrapNone/>
                <wp:docPr id="26897825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CB0CF" id="Rectangle 25" o:spid="_x0000_s1026" style="position:absolute;margin-left:90pt;margin-top:9.7pt;width:2in;height:1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" stroked="f"/>
            </w:pict>
          </mc:Fallback>
        </mc:AlternateContent>
      </w:r>
      <w:r>
        <w:rPr>
          <w:noProof/>
          <w:sz w:val="20"/>
          <w:szCs w:val="16"/>
        </w:rPr>
        <w:drawing>
          <wp:inline distT="0" distB="0" distL="0" distR="0" wp14:anchorId="1F05E46B" wp14:editId="7895D8E7">
            <wp:extent cx="4000500" cy="2063115"/>
            <wp:effectExtent l="0" t="0" r="0" b="0"/>
            <wp:docPr id="27" name="Объект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5889CDB" w14:textId="77777777" w:rsidR="00CD484C" w:rsidRDefault="00CD484C">
      <w:pPr>
        <w:pStyle w:val="21"/>
        <w:ind w:firstLine="397"/>
        <w:jc w:val="center"/>
        <w:rPr>
          <w:i/>
          <w:iCs/>
          <w:sz w:val="12"/>
          <w:lang w:val="ru-RU"/>
        </w:rPr>
      </w:pPr>
    </w:p>
    <w:p w14:paraId="04F64412" w14:textId="77777777" w:rsidR="00CD484C" w:rsidRDefault="00CD484C">
      <w:pPr>
        <w:pStyle w:val="21"/>
        <w:ind w:firstLine="0"/>
        <w:jc w:val="center"/>
        <w:rPr>
          <w:i/>
          <w:iCs/>
          <w:sz w:val="18"/>
          <w:lang w:val="ru-RU"/>
        </w:rPr>
      </w:pPr>
      <w:r>
        <w:rPr>
          <w:b/>
          <w:bCs/>
          <w:i/>
          <w:iCs/>
          <w:sz w:val="18"/>
          <w:lang w:val="ru-RU"/>
        </w:rPr>
        <w:t>Рис. 4.</w:t>
      </w:r>
      <w:r>
        <w:rPr>
          <w:i/>
          <w:iCs/>
          <w:sz w:val="18"/>
          <w:lang w:val="ru-RU"/>
        </w:rPr>
        <w:t xml:space="preserve"> Хронолого-династийное распределение клада Яз-Кираги 1958 г. </w:t>
      </w:r>
      <w:r>
        <w:rPr>
          <w:i/>
          <w:iCs/>
          <w:sz w:val="18"/>
          <w:lang w:val="ru-RU"/>
        </w:rPr>
        <w:br/>
        <w:t>(Азербайджан). (В процентах к общему числу монет)</w:t>
      </w:r>
    </w:p>
    <w:p w14:paraId="769E1717" w14:textId="77777777" w:rsidR="00CD484C" w:rsidRDefault="00CD484C">
      <w:pPr>
        <w:pStyle w:val="21"/>
        <w:ind w:firstLine="397"/>
        <w:jc w:val="center"/>
        <w:rPr>
          <w:i/>
          <w:iCs/>
          <w:sz w:val="16"/>
          <w:lang w:val="ru-RU"/>
        </w:rPr>
      </w:pPr>
    </w:p>
    <w:p w14:paraId="29E8C22C" w14:textId="77777777" w:rsidR="00CD484C" w:rsidRDefault="00CD484C">
      <w:pPr>
        <w:ind w:firstLine="397"/>
        <w:jc w:val="both"/>
        <w:rPr>
          <w:sz w:val="20"/>
          <w:szCs w:val="16"/>
        </w:rPr>
      </w:pPr>
      <w:r>
        <w:rPr>
          <w:sz w:val="20"/>
        </w:rPr>
        <w:t>В этом убеждает изучение младшей ХГ постаббасидской части клада Яз-Кираги /табл. 2/, где данная хроногруппа 64 монеты составляет в</w:t>
      </w:r>
      <w:r>
        <w:rPr>
          <w:sz w:val="20"/>
          <w:szCs w:val="16"/>
        </w:rPr>
        <w:t xml:space="preserve"> Таблица 2. </w:t>
      </w:r>
      <w:r>
        <w:rPr>
          <w:color w:val="000000"/>
          <w:sz w:val="20"/>
          <w:szCs w:val="16"/>
        </w:rPr>
        <w:t xml:space="preserve">Соотношение бувейхидской и саманидской составляющих закавказских кладов (в процентах к числу монет в составляющей), </w:t>
      </w:r>
      <w:r>
        <w:rPr>
          <w:sz w:val="20"/>
          <w:szCs w:val="16"/>
        </w:rPr>
        <w:t>рассматриваемой части клада 70,33% и превышает над предшествующей ей группой 19 (20,11%) монет преимущество в 3,36 крат.</w:t>
      </w:r>
      <w:r>
        <w:rPr>
          <w:rStyle w:val="a6"/>
          <w:sz w:val="20"/>
          <w:szCs w:val="16"/>
        </w:rPr>
        <w:footnoteReference w:customMarkFollows="1" w:id="50"/>
        <w:t>3</w:t>
      </w:r>
      <w:r>
        <w:rPr>
          <w:sz w:val="20"/>
          <w:szCs w:val="16"/>
        </w:rPr>
        <w:t xml:space="preserve"> </w:t>
      </w:r>
    </w:p>
    <w:p w14:paraId="616DCC5A" w14:textId="77777777" w:rsidR="00CD484C" w:rsidRDefault="00CD484C">
      <w:pPr>
        <w:pStyle w:val="21"/>
        <w:ind w:firstLine="397"/>
        <w:rPr>
          <w:szCs w:val="16"/>
          <w:lang w:val="ru-RU"/>
        </w:rPr>
      </w:pPr>
    </w:p>
    <w:tbl>
      <w:tblPr>
        <w:tblW w:w="5000" w:type="pct"/>
        <w:jc w:val="center"/>
        <w:tblBorders>
          <w:left w:val="dashSmallGap" w:sz="4" w:space="0" w:color="auto"/>
          <w:bottom w:val="dashSmallGap" w:sz="4" w:space="0" w:color="auto"/>
          <w:right w:val="dashSmallGap" w:sz="4" w:space="0" w:color="auto"/>
        </w:tblBorders>
        <w:tblCellMar>
          <w:left w:w="30" w:type="dxa"/>
          <w:right w:w="30" w:type="dxa"/>
        </w:tblCellMar>
        <w:tblLook w:val="01A0" w:firstRow="1" w:lastRow="0" w:firstColumn="1" w:lastColumn="1" w:noHBand="0" w:noVBand="0"/>
      </w:tblPr>
      <w:tblGrid>
        <w:gridCol w:w="1933"/>
        <w:gridCol w:w="713"/>
        <w:gridCol w:w="947"/>
        <w:gridCol w:w="1067"/>
        <w:gridCol w:w="1737"/>
      </w:tblGrid>
      <w:tr w:rsidR="00CD484C" w14:paraId="39C11EDA" w14:textId="77777777">
        <w:trPr>
          <w:trHeight w:val="147"/>
          <w:jc w:val="center"/>
        </w:trPr>
        <w:tc>
          <w:tcPr>
            <w:tcW w:w="1511" w:type="pct"/>
            <w:shd w:val="pct20" w:color="000000" w:fill="FFFFFF"/>
            <w:vAlign w:val="center"/>
          </w:tcPr>
          <w:p w14:paraId="4C4585A4" w14:textId="77777777" w:rsidR="00CD484C" w:rsidRDefault="00CD484C">
            <w:pPr>
              <w:jc w:val="center"/>
              <w:rPr>
                <w:b/>
                <w:sz w:val="16"/>
                <w:szCs w:val="16"/>
              </w:rPr>
            </w:pPr>
            <w:r>
              <w:rPr>
                <w:b/>
                <w:sz w:val="16"/>
                <w:szCs w:val="16"/>
              </w:rPr>
              <w:t xml:space="preserve">Династийное </w:t>
            </w:r>
            <w:r>
              <w:rPr>
                <w:b/>
                <w:sz w:val="16"/>
                <w:szCs w:val="16"/>
              </w:rPr>
              <w:br/>
              <w:t>распределение</w:t>
            </w:r>
          </w:p>
        </w:tc>
        <w:tc>
          <w:tcPr>
            <w:tcW w:w="557" w:type="pct"/>
            <w:shd w:val="pct20" w:color="000000" w:fill="FFFFFF"/>
            <w:vAlign w:val="center"/>
          </w:tcPr>
          <w:p w14:paraId="2224C277" w14:textId="77777777" w:rsidR="00CD484C" w:rsidRDefault="00CD484C">
            <w:pPr>
              <w:jc w:val="center"/>
              <w:rPr>
                <w:b/>
                <w:sz w:val="16"/>
                <w:szCs w:val="16"/>
              </w:rPr>
            </w:pPr>
            <w:r>
              <w:rPr>
                <w:b/>
                <w:sz w:val="16"/>
                <w:szCs w:val="16"/>
              </w:rPr>
              <w:t>313–322</w:t>
            </w:r>
          </w:p>
        </w:tc>
        <w:tc>
          <w:tcPr>
            <w:tcW w:w="740" w:type="pct"/>
            <w:shd w:val="pct20" w:color="000000" w:fill="FFFFFF"/>
            <w:vAlign w:val="center"/>
          </w:tcPr>
          <w:p w14:paraId="7745198E" w14:textId="77777777" w:rsidR="00CD484C" w:rsidRDefault="00CD484C">
            <w:pPr>
              <w:jc w:val="center"/>
              <w:rPr>
                <w:b/>
                <w:sz w:val="16"/>
                <w:szCs w:val="16"/>
              </w:rPr>
            </w:pPr>
            <w:r>
              <w:rPr>
                <w:b/>
                <w:sz w:val="16"/>
                <w:szCs w:val="16"/>
              </w:rPr>
              <w:t>323–332</w:t>
            </w:r>
          </w:p>
        </w:tc>
        <w:tc>
          <w:tcPr>
            <w:tcW w:w="834" w:type="pct"/>
            <w:shd w:val="pct20" w:color="000000" w:fill="FFFFFF"/>
            <w:vAlign w:val="center"/>
          </w:tcPr>
          <w:p w14:paraId="30F263FC" w14:textId="77777777" w:rsidR="00CD484C" w:rsidRDefault="00CD484C">
            <w:pPr>
              <w:jc w:val="center"/>
              <w:rPr>
                <w:b/>
                <w:sz w:val="16"/>
                <w:szCs w:val="16"/>
              </w:rPr>
            </w:pPr>
            <w:r>
              <w:rPr>
                <w:b/>
                <w:sz w:val="16"/>
                <w:szCs w:val="16"/>
              </w:rPr>
              <w:t>333–342 гг.</w:t>
            </w:r>
          </w:p>
        </w:tc>
        <w:tc>
          <w:tcPr>
            <w:tcW w:w="1358" w:type="pct"/>
            <w:shd w:val="pct20" w:color="000000" w:fill="FFFFFF"/>
            <w:vAlign w:val="center"/>
          </w:tcPr>
          <w:p w14:paraId="5DF276B6" w14:textId="77777777" w:rsidR="00CD484C" w:rsidRDefault="00CD484C">
            <w:pPr>
              <w:ind w:hanging="30"/>
              <w:jc w:val="center"/>
              <w:rPr>
                <w:b/>
                <w:sz w:val="16"/>
                <w:szCs w:val="16"/>
              </w:rPr>
            </w:pPr>
            <w:r>
              <w:rPr>
                <w:b/>
                <w:sz w:val="16"/>
                <w:szCs w:val="16"/>
              </w:rPr>
              <w:t xml:space="preserve">Число монет </w:t>
            </w:r>
            <w:r>
              <w:rPr>
                <w:b/>
                <w:sz w:val="16"/>
                <w:szCs w:val="16"/>
              </w:rPr>
              <w:br/>
              <w:t>в данных ХГ (в %%)</w:t>
            </w:r>
          </w:p>
        </w:tc>
      </w:tr>
      <w:tr w:rsidR="00CD484C" w14:paraId="5AE1690D" w14:textId="77777777">
        <w:trPr>
          <w:trHeight w:val="147"/>
          <w:jc w:val="center"/>
        </w:trPr>
        <w:tc>
          <w:tcPr>
            <w:tcW w:w="1511" w:type="pct"/>
            <w:shd w:val="pct5" w:color="000000" w:fill="FFFFFF"/>
            <w:vAlign w:val="center"/>
          </w:tcPr>
          <w:p w14:paraId="40C958E7" w14:textId="77777777" w:rsidR="00CD484C" w:rsidRDefault="00CD484C">
            <w:pPr>
              <w:rPr>
                <w:sz w:val="16"/>
                <w:szCs w:val="16"/>
              </w:rPr>
            </w:pPr>
            <w:r>
              <w:rPr>
                <w:sz w:val="16"/>
                <w:szCs w:val="16"/>
              </w:rPr>
              <w:t>Бувейхидский чекан клада. Яз-Кираги.</w:t>
            </w:r>
          </w:p>
        </w:tc>
        <w:tc>
          <w:tcPr>
            <w:tcW w:w="557" w:type="pct"/>
            <w:shd w:val="pct5" w:color="000000" w:fill="FFFFFF"/>
            <w:vAlign w:val="center"/>
          </w:tcPr>
          <w:p w14:paraId="0764693E" w14:textId="77777777" w:rsidR="00CD484C" w:rsidRDefault="00CD484C">
            <w:pPr>
              <w:jc w:val="center"/>
              <w:rPr>
                <w:sz w:val="18"/>
                <w:szCs w:val="16"/>
              </w:rPr>
            </w:pPr>
            <w:r>
              <w:rPr>
                <w:sz w:val="18"/>
                <w:szCs w:val="16"/>
              </w:rPr>
              <w:t>0</w:t>
            </w:r>
          </w:p>
        </w:tc>
        <w:tc>
          <w:tcPr>
            <w:tcW w:w="740" w:type="pct"/>
            <w:shd w:val="pct5" w:color="000000" w:fill="FFFFFF"/>
            <w:vAlign w:val="center"/>
          </w:tcPr>
          <w:p w14:paraId="32262267" w14:textId="77777777" w:rsidR="00CD484C" w:rsidRDefault="00CD484C">
            <w:pPr>
              <w:jc w:val="center"/>
              <w:rPr>
                <w:sz w:val="18"/>
                <w:szCs w:val="16"/>
              </w:rPr>
            </w:pPr>
            <w:r>
              <w:rPr>
                <w:sz w:val="18"/>
                <w:szCs w:val="16"/>
              </w:rPr>
              <w:t>7(7,69)</w:t>
            </w:r>
          </w:p>
        </w:tc>
        <w:tc>
          <w:tcPr>
            <w:tcW w:w="834" w:type="pct"/>
            <w:shd w:val="pct5" w:color="000000" w:fill="FFFFFF"/>
            <w:vAlign w:val="center"/>
          </w:tcPr>
          <w:p w14:paraId="7C0289B4" w14:textId="77777777" w:rsidR="00CD484C" w:rsidRDefault="00CD484C">
            <w:pPr>
              <w:jc w:val="center"/>
              <w:rPr>
                <w:sz w:val="18"/>
                <w:szCs w:val="16"/>
              </w:rPr>
            </w:pPr>
            <w:r>
              <w:rPr>
                <w:sz w:val="18"/>
                <w:szCs w:val="16"/>
              </w:rPr>
              <w:t>40(43,95)</w:t>
            </w:r>
          </w:p>
        </w:tc>
        <w:tc>
          <w:tcPr>
            <w:tcW w:w="1358" w:type="pct"/>
            <w:shd w:val="pct5" w:color="000000" w:fill="FFFFFF"/>
            <w:vAlign w:val="center"/>
          </w:tcPr>
          <w:p w14:paraId="0869B8C1" w14:textId="77777777" w:rsidR="00CD484C" w:rsidRDefault="00CD484C">
            <w:pPr>
              <w:ind w:hanging="30"/>
              <w:jc w:val="center"/>
              <w:rPr>
                <w:sz w:val="18"/>
                <w:szCs w:val="16"/>
              </w:rPr>
            </w:pPr>
            <w:r>
              <w:rPr>
                <w:sz w:val="18"/>
                <w:szCs w:val="16"/>
              </w:rPr>
              <w:t>47(51,65)</w:t>
            </w:r>
          </w:p>
        </w:tc>
      </w:tr>
      <w:tr w:rsidR="00CD484C" w14:paraId="6CBBC806" w14:textId="77777777">
        <w:trPr>
          <w:trHeight w:val="147"/>
          <w:jc w:val="center"/>
        </w:trPr>
        <w:tc>
          <w:tcPr>
            <w:tcW w:w="1511" w:type="pct"/>
            <w:shd w:val="pct20" w:color="000000" w:fill="FFFFFF"/>
            <w:vAlign w:val="center"/>
          </w:tcPr>
          <w:p w14:paraId="1488069F" w14:textId="77777777" w:rsidR="00CD484C" w:rsidRDefault="00CD484C">
            <w:pPr>
              <w:rPr>
                <w:sz w:val="16"/>
                <w:szCs w:val="16"/>
              </w:rPr>
            </w:pPr>
            <w:r>
              <w:rPr>
                <w:sz w:val="16"/>
                <w:szCs w:val="16"/>
              </w:rPr>
              <w:t>Саманидский  (Яз-Кираги)</w:t>
            </w:r>
          </w:p>
        </w:tc>
        <w:tc>
          <w:tcPr>
            <w:tcW w:w="557" w:type="pct"/>
            <w:shd w:val="pct20" w:color="000000" w:fill="FFFFFF"/>
            <w:vAlign w:val="center"/>
          </w:tcPr>
          <w:p w14:paraId="4172AEA5" w14:textId="77777777" w:rsidR="00CD484C" w:rsidRDefault="00CD484C">
            <w:pPr>
              <w:jc w:val="center"/>
              <w:rPr>
                <w:sz w:val="18"/>
                <w:szCs w:val="16"/>
              </w:rPr>
            </w:pPr>
            <w:r>
              <w:rPr>
                <w:sz w:val="18"/>
                <w:szCs w:val="16"/>
              </w:rPr>
              <w:t>8(8,79)</w:t>
            </w:r>
          </w:p>
        </w:tc>
        <w:tc>
          <w:tcPr>
            <w:tcW w:w="740" w:type="pct"/>
            <w:shd w:val="pct20" w:color="000000" w:fill="FFFFFF"/>
            <w:vAlign w:val="center"/>
          </w:tcPr>
          <w:p w14:paraId="67A2C236" w14:textId="77777777" w:rsidR="00CD484C" w:rsidRDefault="00CD484C">
            <w:pPr>
              <w:jc w:val="center"/>
              <w:rPr>
                <w:sz w:val="18"/>
                <w:szCs w:val="16"/>
              </w:rPr>
            </w:pPr>
            <w:r>
              <w:rPr>
                <w:sz w:val="18"/>
                <w:szCs w:val="16"/>
              </w:rPr>
              <w:t>6(6,59)</w:t>
            </w:r>
          </w:p>
        </w:tc>
        <w:tc>
          <w:tcPr>
            <w:tcW w:w="834" w:type="pct"/>
            <w:shd w:val="pct20" w:color="000000" w:fill="FFFFFF"/>
            <w:vAlign w:val="center"/>
          </w:tcPr>
          <w:p w14:paraId="6A017C63" w14:textId="77777777" w:rsidR="00CD484C" w:rsidRDefault="00CD484C">
            <w:pPr>
              <w:jc w:val="center"/>
              <w:rPr>
                <w:sz w:val="18"/>
                <w:szCs w:val="16"/>
              </w:rPr>
            </w:pPr>
            <w:r>
              <w:rPr>
                <w:sz w:val="18"/>
                <w:szCs w:val="16"/>
              </w:rPr>
              <w:t>15(16,48)</w:t>
            </w:r>
          </w:p>
        </w:tc>
        <w:tc>
          <w:tcPr>
            <w:tcW w:w="1358" w:type="pct"/>
            <w:shd w:val="pct20" w:color="000000" w:fill="FFFFFF"/>
            <w:vAlign w:val="center"/>
          </w:tcPr>
          <w:p w14:paraId="560DDBF2" w14:textId="77777777" w:rsidR="00CD484C" w:rsidRDefault="00CD484C">
            <w:pPr>
              <w:ind w:hanging="30"/>
              <w:jc w:val="center"/>
              <w:rPr>
                <w:sz w:val="18"/>
                <w:szCs w:val="16"/>
              </w:rPr>
            </w:pPr>
            <w:r>
              <w:rPr>
                <w:sz w:val="18"/>
                <w:szCs w:val="16"/>
              </w:rPr>
              <w:t>29 (31,87)</w:t>
            </w:r>
          </w:p>
        </w:tc>
      </w:tr>
      <w:tr w:rsidR="00CD484C" w14:paraId="4ADC256E" w14:textId="77777777">
        <w:trPr>
          <w:trHeight w:val="147"/>
          <w:jc w:val="center"/>
        </w:trPr>
        <w:tc>
          <w:tcPr>
            <w:tcW w:w="1511" w:type="pct"/>
            <w:shd w:val="pct5" w:color="000000" w:fill="FFFFFF"/>
            <w:vAlign w:val="center"/>
          </w:tcPr>
          <w:p w14:paraId="7AF58AB5" w14:textId="77777777" w:rsidR="00CD484C" w:rsidRDefault="00CD484C">
            <w:pPr>
              <w:rPr>
                <w:sz w:val="16"/>
                <w:szCs w:val="16"/>
              </w:rPr>
            </w:pPr>
            <w:r>
              <w:rPr>
                <w:sz w:val="16"/>
                <w:szCs w:val="16"/>
              </w:rPr>
              <w:t>«Малые» династии</w:t>
            </w:r>
          </w:p>
          <w:p w14:paraId="38D73DC3" w14:textId="77777777" w:rsidR="00CD484C" w:rsidRDefault="00CD484C">
            <w:pPr>
              <w:rPr>
                <w:sz w:val="16"/>
                <w:szCs w:val="16"/>
              </w:rPr>
            </w:pPr>
            <w:r>
              <w:rPr>
                <w:sz w:val="16"/>
                <w:szCs w:val="16"/>
              </w:rPr>
              <w:t xml:space="preserve"> кл.Яз-Кираги </w:t>
            </w:r>
          </w:p>
        </w:tc>
        <w:tc>
          <w:tcPr>
            <w:tcW w:w="557" w:type="pct"/>
            <w:shd w:val="pct5" w:color="000000" w:fill="FFFFFF"/>
            <w:vAlign w:val="center"/>
          </w:tcPr>
          <w:p w14:paraId="34692CFE" w14:textId="77777777" w:rsidR="00CD484C" w:rsidRDefault="00CD484C">
            <w:pPr>
              <w:jc w:val="center"/>
              <w:rPr>
                <w:sz w:val="18"/>
                <w:szCs w:val="16"/>
              </w:rPr>
            </w:pPr>
            <w:r>
              <w:rPr>
                <w:sz w:val="18"/>
                <w:szCs w:val="16"/>
              </w:rPr>
              <w:t>0</w:t>
            </w:r>
          </w:p>
        </w:tc>
        <w:tc>
          <w:tcPr>
            <w:tcW w:w="740" w:type="pct"/>
            <w:shd w:val="pct5" w:color="000000" w:fill="FFFFFF"/>
            <w:vAlign w:val="center"/>
          </w:tcPr>
          <w:p w14:paraId="41EFED3B" w14:textId="77777777" w:rsidR="00CD484C" w:rsidRDefault="00CD484C">
            <w:pPr>
              <w:jc w:val="center"/>
              <w:rPr>
                <w:sz w:val="18"/>
                <w:szCs w:val="16"/>
              </w:rPr>
            </w:pPr>
            <w:r>
              <w:rPr>
                <w:sz w:val="18"/>
                <w:szCs w:val="16"/>
              </w:rPr>
              <w:t>6(6,59)</w:t>
            </w:r>
          </w:p>
        </w:tc>
        <w:tc>
          <w:tcPr>
            <w:tcW w:w="834" w:type="pct"/>
            <w:shd w:val="pct5" w:color="000000" w:fill="FFFFFF"/>
            <w:vAlign w:val="center"/>
          </w:tcPr>
          <w:p w14:paraId="2C6CCBEC" w14:textId="77777777" w:rsidR="00CD484C" w:rsidRDefault="00CD484C">
            <w:pPr>
              <w:jc w:val="center"/>
              <w:rPr>
                <w:sz w:val="18"/>
                <w:szCs w:val="16"/>
              </w:rPr>
            </w:pPr>
            <w:r>
              <w:rPr>
                <w:sz w:val="18"/>
                <w:szCs w:val="16"/>
              </w:rPr>
              <w:t>9(9,89)</w:t>
            </w:r>
          </w:p>
        </w:tc>
        <w:tc>
          <w:tcPr>
            <w:tcW w:w="1358" w:type="pct"/>
            <w:shd w:val="pct5" w:color="000000" w:fill="FFFFFF"/>
            <w:vAlign w:val="center"/>
          </w:tcPr>
          <w:p w14:paraId="64D7EE41" w14:textId="77777777" w:rsidR="00CD484C" w:rsidRDefault="00CD484C">
            <w:pPr>
              <w:ind w:hanging="30"/>
              <w:jc w:val="center"/>
              <w:rPr>
                <w:sz w:val="18"/>
                <w:szCs w:val="16"/>
              </w:rPr>
            </w:pPr>
            <w:r>
              <w:rPr>
                <w:sz w:val="18"/>
                <w:szCs w:val="16"/>
              </w:rPr>
              <w:t>15(16,48)</w:t>
            </w:r>
          </w:p>
        </w:tc>
      </w:tr>
      <w:tr w:rsidR="00CD484C" w14:paraId="0E5D12B0" w14:textId="77777777">
        <w:trPr>
          <w:trHeight w:val="147"/>
          <w:jc w:val="center"/>
        </w:trPr>
        <w:tc>
          <w:tcPr>
            <w:tcW w:w="1511" w:type="pct"/>
            <w:shd w:val="pct20" w:color="000000" w:fill="FFFFFF"/>
            <w:vAlign w:val="center"/>
          </w:tcPr>
          <w:p w14:paraId="7A94C36D" w14:textId="77777777" w:rsidR="00CD484C" w:rsidRDefault="00CD484C">
            <w:pPr>
              <w:rPr>
                <w:sz w:val="16"/>
                <w:szCs w:val="16"/>
              </w:rPr>
            </w:pPr>
            <w:r>
              <w:rPr>
                <w:sz w:val="16"/>
                <w:szCs w:val="16"/>
              </w:rPr>
              <w:t>Всего постабб.</w:t>
            </w:r>
          </w:p>
          <w:p w14:paraId="381A1DF7" w14:textId="77777777" w:rsidR="00CD484C" w:rsidRDefault="00CD484C">
            <w:pPr>
              <w:rPr>
                <w:sz w:val="16"/>
                <w:szCs w:val="16"/>
              </w:rPr>
            </w:pPr>
            <w:r>
              <w:rPr>
                <w:sz w:val="16"/>
                <w:szCs w:val="16"/>
              </w:rPr>
              <w:t>чекан Яз-Кираги</w:t>
            </w:r>
          </w:p>
        </w:tc>
        <w:tc>
          <w:tcPr>
            <w:tcW w:w="557" w:type="pct"/>
            <w:shd w:val="pct20" w:color="000000" w:fill="FFFFFF"/>
            <w:vAlign w:val="center"/>
          </w:tcPr>
          <w:p w14:paraId="5CFC5FD3" w14:textId="77777777" w:rsidR="00CD484C" w:rsidRDefault="00CD484C">
            <w:pPr>
              <w:jc w:val="center"/>
              <w:rPr>
                <w:sz w:val="18"/>
                <w:szCs w:val="16"/>
              </w:rPr>
            </w:pPr>
            <w:r>
              <w:rPr>
                <w:sz w:val="18"/>
                <w:szCs w:val="16"/>
              </w:rPr>
              <w:t>8(8,79)</w:t>
            </w:r>
          </w:p>
        </w:tc>
        <w:tc>
          <w:tcPr>
            <w:tcW w:w="740" w:type="pct"/>
            <w:shd w:val="pct20" w:color="000000" w:fill="FFFFFF"/>
            <w:vAlign w:val="center"/>
          </w:tcPr>
          <w:p w14:paraId="58F50C59" w14:textId="77777777" w:rsidR="00CD484C" w:rsidRDefault="00CD484C">
            <w:pPr>
              <w:jc w:val="center"/>
              <w:rPr>
                <w:sz w:val="18"/>
                <w:szCs w:val="16"/>
              </w:rPr>
            </w:pPr>
            <w:r>
              <w:rPr>
                <w:sz w:val="18"/>
                <w:szCs w:val="16"/>
              </w:rPr>
              <w:t>19(20,88)</w:t>
            </w:r>
          </w:p>
        </w:tc>
        <w:tc>
          <w:tcPr>
            <w:tcW w:w="834" w:type="pct"/>
            <w:shd w:val="pct20" w:color="000000" w:fill="FFFFFF"/>
            <w:vAlign w:val="center"/>
          </w:tcPr>
          <w:p w14:paraId="4BE7A559" w14:textId="77777777" w:rsidR="00CD484C" w:rsidRDefault="00CD484C">
            <w:pPr>
              <w:jc w:val="center"/>
              <w:rPr>
                <w:sz w:val="18"/>
                <w:szCs w:val="16"/>
              </w:rPr>
            </w:pPr>
            <w:r>
              <w:rPr>
                <w:sz w:val="18"/>
                <w:szCs w:val="16"/>
              </w:rPr>
              <w:t>64(70,33)</w:t>
            </w:r>
          </w:p>
        </w:tc>
        <w:tc>
          <w:tcPr>
            <w:tcW w:w="1358" w:type="pct"/>
            <w:shd w:val="pct20" w:color="000000" w:fill="FFFFFF"/>
            <w:vAlign w:val="center"/>
          </w:tcPr>
          <w:p w14:paraId="10BF1A35" w14:textId="77777777" w:rsidR="00CD484C" w:rsidRDefault="00CD484C">
            <w:pPr>
              <w:ind w:hanging="30"/>
              <w:jc w:val="center"/>
              <w:rPr>
                <w:sz w:val="18"/>
                <w:szCs w:val="16"/>
              </w:rPr>
            </w:pPr>
            <w:r>
              <w:rPr>
                <w:sz w:val="18"/>
                <w:szCs w:val="16"/>
              </w:rPr>
              <w:t>91(100%)</w:t>
            </w:r>
          </w:p>
        </w:tc>
      </w:tr>
      <w:tr w:rsidR="00CD484C" w14:paraId="3CC845E6" w14:textId="77777777">
        <w:trPr>
          <w:trHeight w:val="147"/>
          <w:jc w:val="center"/>
        </w:trPr>
        <w:tc>
          <w:tcPr>
            <w:tcW w:w="1511" w:type="pct"/>
            <w:shd w:val="pct5" w:color="000000" w:fill="FFFFFF"/>
            <w:vAlign w:val="center"/>
          </w:tcPr>
          <w:p w14:paraId="23A29C97" w14:textId="77777777" w:rsidR="00CD484C" w:rsidRDefault="00CD484C">
            <w:pPr>
              <w:rPr>
                <w:sz w:val="16"/>
                <w:szCs w:val="16"/>
              </w:rPr>
            </w:pPr>
            <w:r>
              <w:rPr>
                <w:sz w:val="16"/>
                <w:szCs w:val="16"/>
              </w:rPr>
              <w:t xml:space="preserve">Бувейхидский </w:t>
            </w:r>
          </w:p>
          <w:p w14:paraId="305E1E9B" w14:textId="77777777" w:rsidR="00CD484C" w:rsidRDefault="00CD484C">
            <w:pPr>
              <w:rPr>
                <w:sz w:val="16"/>
                <w:szCs w:val="16"/>
              </w:rPr>
            </w:pPr>
            <w:r>
              <w:rPr>
                <w:sz w:val="16"/>
                <w:szCs w:val="16"/>
              </w:rPr>
              <w:t>чекан клада.Банбаши</w:t>
            </w:r>
          </w:p>
        </w:tc>
        <w:tc>
          <w:tcPr>
            <w:tcW w:w="557" w:type="pct"/>
            <w:shd w:val="pct5" w:color="000000" w:fill="FFFFFF"/>
            <w:vAlign w:val="center"/>
          </w:tcPr>
          <w:p w14:paraId="25C8DA4E" w14:textId="77777777" w:rsidR="00CD484C" w:rsidRDefault="00CD484C">
            <w:pPr>
              <w:jc w:val="center"/>
              <w:rPr>
                <w:sz w:val="18"/>
                <w:szCs w:val="16"/>
              </w:rPr>
            </w:pPr>
            <w:r>
              <w:rPr>
                <w:sz w:val="18"/>
                <w:szCs w:val="16"/>
              </w:rPr>
              <w:t>0</w:t>
            </w:r>
          </w:p>
        </w:tc>
        <w:tc>
          <w:tcPr>
            <w:tcW w:w="740" w:type="pct"/>
            <w:shd w:val="pct5" w:color="000000" w:fill="FFFFFF"/>
            <w:vAlign w:val="center"/>
          </w:tcPr>
          <w:p w14:paraId="256BAC71" w14:textId="77777777" w:rsidR="00CD484C" w:rsidRDefault="00CD484C">
            <w:pPr>
              <w:jc w:val="center"/>
              <w:rPr>
                <w:sz w:val="18"/>
                <w:szCs w:val="16"/>
              </w:rPr>
            </w:pPr>
            <w:r>
              <w:rPr>
                <w:sz w:val="18"/>
                <w:szCs w:val="16"/>
              </w:rPr>
              <w:t>6(30,0)</w:t>
            </w:r>
          </w:p>
        </w:tc>
        <w:tc>
          <w:tcPr>
            <w:tcW w:w="834" w:type="pct"/>
            <w:shd w:val="pct5" w:color="000000" w:fill="FFFFFF"/>
            <w:vAlign w:val="center"/>
          </w:tcPr>
          <w:p w14:paraId="2EC3372E" w14:textId="77777777" w:rsidR="00CD484C" w:rsidRDefault="00CD484C">
            <w:pPr>
              <w:jc w:val="center"/>
              <w:rPr>
                <w:sz w:val="18"/>
                <w:szCs w:val="16"/>
              </w:rPr>
            </w:pPr>
            <w:r>
              <w:rPr>
                <w:sz w:val="18"/>
                <w:szCs w:val="16"/>
              </w:rPr>
              <w:t>6(30,0)</w:t>
            </w:r>
          </w:p>
        </w:tc>
        <w:tc>
          <w:tcPr>
            <w:tcW w:w="1358" w:type="pct"/>
            <w:shd w:val="pct5" w:color="000000" w:fill="FFFFFF"/>
            <w:vAlign w:val="center"/>
          </w:tcPr>
          <w:p w14:paraId="1228A82B" w14:textId="77777777" w:rsidR="00CD484C" w:rsidRDefault="00CD484C">
            <w:pPr>
              <w:ind w:hanging="30"/>
              <w:jc w:val="center"/>
              <w:rPr>
                <w:sz w:val="18"/>
                <w:szCs w:val="16"/>
              </w:rPr>
            </w:pPr>
            <w:r>
              <w:rPr>
                <w:sz w:val="18"/>
                <w:szCs w:val="16"/>
              </w:rPr>
              <w:t>12(60,0)</w:t>
            </w:r>
          </w:p>
        </w:tc>
      </w:tr>
      <w:tr w:rsidR="00CD484C" w14:paraId="3DD532D0" w14:textId="77777777">
        <w:trPr>
          <w:trHeight w:val="147"/>
          <w:jc w:val="center"/>
        </w:trPr>
        <w:tc>
          <w:tcPr>
            <w:tcW w:w="1511" w:type="pct"/>
            <w:shd w:val="pct20" w:color="000000" w:fill="FFFFFF"/>
            <w:vAlign w:val="center"/>
          </w:tcPr>
          <w:p w14:paraId="6A2E5EF2" w14:textId="77777777" w:rsidR="00CD484C" w:rsidRDefault="00CD484C">
            <w:pPr>
              <w:rPr>
                <w:sz w:val="16"/>
                <w:szCs w:val="16"/>
              </w:rPr>
            </w:pPr>
            <w:r>
              <w:rPr>
                <w:sz w:val="16"/>
                <w:szCs w:val="16"/>
              </w:rPr>
              <w:t xml:space="preserve">Кл.Банбаши. Саманиды </w:t>
            </w:r>
          </w:p>
        </w:tc>
        <w:tc>
          <w:tcPr>
            <w:tcW w:w="557" w:type="pct"/>
            <w:shd w:val="pct20" w:color="000000" w:fill="FFFFFF"/>
            <w:vAlign w:val="center"/>
          </w:tcPr>
          <w:p w14:paraId="0FFD5451" w14:textId="77777777" w:rsidR="00CD484C" w:rsidRDefault="00CD484C">
            <w:pPr>
              <w:jc w:val="center"/>
              <w:rPr>
                <w:sz w:val="18"/>
                <w:szCs w:val="16"/>
              </w:rPr>
            </w:pPr>
            <w:r>
              <w:rPr>
                <w:sz w:val="18"/>
                <w:szCs w:val="16"/>
              </w:rPr>
              <w:t>0</w:t>
            </w:r>
          </w:p>
        </w:tc>
        <w:tc>
          <w:tcPr>
            <w:tcW w:w="740" w:type="pct"/>
            <w:shd w:val="pct20" w:color="000000" w:fill="FFFFFF"/>
            <w:vAlign w:val="center"/>
          </w:tcPr>
          <w:p w14:paraId="04985835" w14:textId="77777777" w:rsidR="00CD484C" w:rsidRDefault="00CD484C">
            <w:pPr>
              <w:jc w:val="center"/>
              <w:rPr>
                <w:sz w:val="18"/>
                <w:szCs w:val="16"/>
              </w:rPr>
            </w:pPr>
            <w:r>
              <w:rPr>
                <w:sz w:val="18"/>
                <w:szCs w:val="16"/>
              </w:rPr>
              <w:t>5(25,0)</w:t>
            </w:r>
          </w:p>
        </w:tc>
        <w:tc>
          <w:tcPr>
            <w:tcW w:w="834" w:type="pct"/>
            <w:shd w:val="pct20" w:color="000000" w:fill="FFFFFF"/>
            <w:vAlign w:val="center"/>
          </w:tcPr>
          <w:p w14:paraId="637CA63E" w14:textId="77777777" w:rsidR="00CD484C" w:rsidRDefault="00CD484C">
            <w:pPr>
              <w:jc w:val="center"/>
              <w:rPr>
                <w:sz w:val="18"/>
                <w:szCs w:val="16"/>
              </w:rPr>
            </w:pPr>
            <w:r>
              <w:rPr>
                <w:sz w:val="18"/>
                <w:szCs w:val="16"/>
              </w:rPr>
              <w:t>0</w:t>
            </w:r>
          </w:p>
        </w:tc>
        <w:tc>
          <w:tcPr>
            <w:tcW w:w="1358" w:type="pct"/>
            <w:shd w:val="pct20" w:color="000000" w:fill="FFFFFF"/>
            <w:vAlign w:val="center"/>
          </w:tcPr>
          <w:p w14:paraId="4002932E" w14:textId="77777777" w:rsidR="00CD484C" w:rsidRDefault="00CD484C">
            <w:pPr>
              <w:ind w:hanging="30"/>
              <w:jc w:val="center"/>
              <w:rPr>
                <w:sz w:val="18"/>
                <w:szCs w:val="16"/>
              </w:rPr>
            </w:pPr>
            <w:r>
              <w:rPr>
                <w:sz w:val="18"/>
                <w:szCs w:val="16"/>
              </w:rPr>
              <w:t>5(25,0)</w:t>
            </w:r>
          </w:p>
        </w:tc>
      </w:tr>
      <w:tr w:rsidR="00CD484C" w14:paraId="7459545C" w14:textId="77777777">
        <w:trPr>
          <w:trHeight w:val="147"/>
          <w:jc w:val="center"/>
        </w:trPr>
        <w:tc>
          <w:tcPr>
            <w:tcW w:w="1511" w:type="pct"/>
            <w:shd w:val="pct5" w:color="000000" w:fill="FFFFFF"/>
            <w:vAlign w:val="center"/>
          </w:tcPr>
          <w:p w14:paraId="370B2D01" w14:textId="77777777" w:rsidR="00CD484C" w:rsidRDefault="00CD484C">
            <w:pPr>
              <w:rPr>
                <w:sz w:val="16"/>
                <w:szCs w:val="16"/>
              </w:rPr>
            </w:pPr>
            <w:r>
              <w:rPr>
                <w:sz w:val="16"/>
                <w:szCs w:val="16"/>
              </w:rPr>
              <w:t xml:space="preserve">«Малые» </w:t>
            </w:r>
          </w:p>
          <w:p w14:paraId="42CA583A" w14:textId="77777777" w:rsidR="00CD484C" w:rsidRDefault="00CD484C">
            <w:pPr>
              <w:rPr>
                <w:sz w:val="16"/>
                <w:szCs w:val="16"/>
              </w:rPr>
            </w:pPr>
            <w:r>
              <w:rPr>
                <w:sz w:val="16"/>
                <w:szCs w:val="16"/>
              </w:rPr>
              <w:t>династии кл.Банбаши.</w:t>
            </w:r>
          </w:p>
        </w:tc>
        <w:tc>
          <w:tcPr>
            <w:tcW w:w="557" w:type="pct"/>
            <w:shd w:val="pct5" w:color="000000" w:fill="FFFFFF"/>
            <w:vAlign w:val="center"/>
          </w:tcPr>
          <w:p w14:paraId="67A7933E" w14:textId="77777777" w:rsidR="00CD484C" w:rsidRDefault="00CD484C">
            <w:pPr>
              <w:jc w:val="center"/>
              <w:rPr>
                <w:sz w:val="18"/>
                <w:szCs w:val="16"/>
              </w:rPr>
            </w:pPr>
            <w:r>
              <w:rPr>
                <w:sz w:val="18"/>
                <w:szCs w:val="16"/>
              </w:rPr>
              <w:t>1(5,0)</w:t>
            </w:r>
          </w:p>
        </w:tc>
        <w:tc>
          <w:tcPr>
            <w:tcW w:w="740" w:type="pct"/>
            <w:shd w:val="pct5" w:color="000000" w:fill="FFFFFF"/>
            <w:vAlign w:val="center"/>
          </w:tcPr>
          <w:p w14:paraId="22C89A20" w14:textId="77777777" w:rsidR="00CD484C" w:rsidRDefault="00CD484C">
            <w:pPr>
              <w:jc w:val="center"/>
              <w:rPr>
                <w:sz w:val="18"/>
                <w:szCs w:val="16"/>
              </w:rPr>
            </w:pPr>
            <w:r>
              <w:rPr>
                <w:sz w:val="18"/>
                <w:szCs w:val="16"/>
              </w:rPr>
              <w:t>0</w:t>
            </w:r>
          </w:p>
        </w:tc>
        <w:tc>
          <w:tcPr>
            <w:tcW w:w="834" w:type="pct"/>
            <w:shd w:val="pct5" w:color="000000" w:fill="FFFFFF"/>
            <w:vAlign w:val="center"/>
          </w:tcPr>
          <w:p w14:paraId="04CD86FC" w14:textId="77777777" w:rsidR="00CD484C" w:rsidRDefault="00CD484C">
            <w:pPr>
              <w:jc w:val="center"/>
              <w:rPr>
                <w:sz w:val="18"/>
                <w:szCs w:val="16"/>
              </w:rPr>
            </w:pPr>
            <w:r>
              <w:rPr>
                <w:sz w:val="18"/>
                <w:szCs w:val="16"/>
              </w:rPr>
              <w:t>2(10,52)</w:t>
            </w:r>
          </w:p>
        </w:tc>
        <w:tc>
          <w:tcPr>
            <w:tcW w:w="1358" w:type="pct"/>
            <w:shd w:val="pct5" w:color="000000" w:fill="FFFFFF"/>
            <w:vAlign w:val="center"/>
          </w:tcPr>
          <w:p w14:paraId="5BC01E5A" w14:textId="77777777" w:rsidR="00CD484C" w:rsidRDefault="00CD484C">
            <w:pPr>
              <w:ind w:hanging="30"/>
              <w:jc w:val="center"/>
              <w:rPr>
                <w:sz w:val="18"/>
                <w:szCs w:val="16"/>
              </w:rPr>
            </w:pPr>
            <w:r>
              <w:rPr>
                <w:sz w:val="18"/>
                <w:szCs w:val="16"/>
              </w:rPr>
              <w:t>3(15,0)</w:t>
            </w:r>
          </w:p>
        </w:tc>
      </w:tr>
      <w:tr w:rsidR="00CD484C" w14:paraId="61E93944" w14:textId="77777777">
        <w:trPr>
          <w:trHeight w:val="147"/>
          <w:jc w:val="center"/>
        </w:trPr>
        <w:tc>
          <w:tcPr>
            <w:tcW w:w="1511" w:type="pct"/>
            <w:shd w:val="pct20" w:color="000000" w:fill="FFFFFF"/>
            <w:vAlign w:val="center"/>
          </w:tcPr>
          <w:p w14:paraId="22063C51" w14:textId="77777777" w:rsidR="00CD484C" w:rsidRDefault="00CD484C">
            <w:pPr>
              <w:rPr>
                <w:sz w:val="16"/>
                <w:szCs w:val="16"/>
              </w:rPr>
            </w:pPr>
            <w:r>
              <w:rPr>
                <w:sz w:val="16"/>
                <w:szCs w:val="16"/>
              </w:rPr>
              <w:t>Всего постабб. чекан</w:t>
            </w:r>
          </w:p>
          <w:p w14:paraId="6444C2AB" w14:textId="77777777" w:rsidR="00CD484C" w:rsidRDefault="00CD484C">
            <w:pPr>
              <w:rPr>
                <w:sz w:val="16"/>
                <w:szCs w:val="16"/>
              </w:rPr>
            </w:pPr>
            <w:r>
              <w:rPr>
                <w:sz w:val="16"/>
                <w:szCs w:val="16"/>
              </w:rPr>
              <w:t xml:space="preserve"> кл.Банбаши</w:t>
            </w:r>
          </w:p>
        </w:tc>
        <w:tc>
          <w:tcPr>
            <w:tcW w:w="557" w:type="pct"/>
            <w:shd w:val="pct20" w:color="000000" w:fill="FFFFFF"/>
            <w:vAlign w:val="center"/>
          </w:tcPr>
          <w:p w14:paraId="3CED12C2" w14:textId="77777777" w:rsidR="00CD484C" w:rsidRDefault="00CD484C">
            <w:pPr>
              <w:jc w:val="center"/>
              <w:rPr>
                <w:sz w:val="18"/>
                <w:szCs w:val="16"/>
              </w:rPr>
            </w:pPr>
            <w:r>
              <w:rPr>
                <w:sz w:val="18"/>
                <w:szCs w:val="16"/>
              </w:rPr>
              <w:t>1(5,0)</w:t>
            </w:r>
          </w:p>
        </w:tc>
        <w:tc>
          <w:tcPr>
            <w:tcW w:w="740" w:type="pct"/>
            <w:shd w:val="pct20" w:color="000000" w:fill="FFFFFF"/>
            <w:vAlign w:val="center"/>
          </w:tcPr>
          <w:p w14:paraId="6DF560E2" w14:textId="77777777" w:rsidR="00CD484C" w:rsidRDefault="00CD484C">
            <w:pPr>
              <w:jc w:val="center"/>
              <w:rPr>
                <w:sz w:val="18"/>
                <w:szCs w:val="16"/>
              </w:rPr>
            </w:pPr>
            <w:r>
              <w:rPr>
                <w:sz w:val="18"/>
                <w:szCs w:val="16"/>
              </w:rPr>
              <w:t>11(55,0)</w:t>
            </w:r>
          </w:p>
        </w:tc>
        <w:tc>
          <w:tcPr>
            <w:tcW w:w="834" w:type="pct"/>
            <w:shd w:val="pct20" w:color="000000" w:fill="FFFFFF"/>
            <w:vAlign w:val="center"/>
          </w:tcPr>
          <w:p w14:paraId="7992B815" w14:textId="77777777" w:rsidR="00CD484C" w:rsidRDefault="00CD484C">
            <w:pPr>
              <w:jc w:val="center"/>
              <w:rPr>
                <w:sz w:val="18"/>
                <w:szCs w:val="16"/>
              </w:rPr>
            </w:pPr>
            <w:r>
              <w:rPr>
                <w:sz w:val="18"/>
                <w:szCs w:val="16"/>
              </w:rPr>
              <w:t>8(40,0)</w:t>
            </w:r>
          </w:p>
        </w:tc>
        <w:tc>
          <w:tcPr>
            <w:tcW w:w="1358" w:type="pct"/>
            <w:shd w:val="pct20" w:color="000000" w:fill="FFFFFF"/>
            <w:vAlign w:val="center"/>
          </w:tcPr>
          <w:p w14:paraId="0CACF2BF" w14:textId="77777777" w:rsidR="00CD484C" w:rsidRDefault="00CD484C">
            <w:pPr>
              <w:ind w:hanging="30"/>
              <w:jc w:val="center"/>
              <w:rPr>
                <w:sz w:val="18"/>
                <w:szCs w:val="16"/>
              </w:rPr>
            </w:pPr>
            <w:r>
              <w:rPr>
                <w:sz w:val="18"/>
                <w:szCs w:val="16"/>
              </w:rPr>
              <w:t>20(100%)</w:t>
            </w:r>
          </w:p>
        </w:tc>
      </w:tr>
      <w:tr w:rsidR="00CD484C" w14:paraId="1C6FB1F8" w14:textId="77777777">
        <w:trPr>
          <w:trHeight w:val="147"/>
          <w:jc w:val="center"/>
        </w:trPr>
        <w:tc>
          <w:tcPr>
            <w:tcW w:w="1511" w:type="pct"/>
            <w:shd w:val="pct5" w:color="000000" w:fill="FFFFFF"/>
            <w:vAlign w:val="center"/>
          </w:tcPr>
          <w:p w14:paraId="4B46C22A" w14:textId="77777777" w:rsidR="00CD484C" w:rsidRDefault="00CD484C">
            <w:pPr>
              <w:rPr>
                <w:sz w:val="16"/>
                <w:szCs w:val="16"/>
              </w:rPr>
            </w:pPr>
            <w:r>
              <w:rPr>
                <w:sz w:val="16"/>
                <w:szCs w:val="16"/>
              </w:rPr>
              <w:t>.Итого: постабб.</w:t>
            </w:r>
          </w:p>
          <w:p w14:paraId="7493A4A3" w14:textId="77777777" w:rsidR="00CD484C" w:rsidRDefault="00CD484C">
            <w:pPr>
              <w:rPr>
                <w:sz w:val="16"/>
                <w:szCs w:val="16"/>
              </w:rPr>
            </w:pPr>
            <w:r>
              <w:rPr>
                <w:sz w:val="16"/>
                <w:szCs w:val="16"/>
              </w:rPr>
              <w:t>часть двух каладов</w:t>
            </w:r>
          </w:p>
        </w:tc>
        <w:tc>
          <w:tcPr>
            <w:tcW w:w="557" w:type="pct"/>
            <w:shd w:val="pct5" w:color="000000" w:fill="FFFFFF"/>
            <w:vAlign w:val="center"/>
          </w:tcPr>
          <w:p w14:paraId="5F200A2F" w14:textId="77777777" w:rsidR="00CD484C" w:rsidRDefault="00CD484C">
            <w:pPr>
              <w:jc w:val="center"/>
              <w:rPr>
                <w:sz w:val="18"/>
                <w:szCs w:val="16"/>
              </w:rPr>
            </w:pPr>
            <w:r>
              <w:rPr>
                <w:sz w:val="18"/>
                <w:szCs w:val="16"/>
              </w:rPr>
              <w:t>9(8,01)</w:t>
            </w:r>
          </w:p>
        </w:tc>
        <w:tc>
          <w:tcPr>
            <w:tcW w:w="740" w:type="pct"/>
            <w:shd w:val="pct5" w:color="000000" w:fill="FFFFFF"/>
            <w:vAlign w:val="center"/>
          </w:tcPr>
          <w:p w14:paraId="6B338869" w14:textId="77777777" w:rsidR="00CD484C" w:rsidRDefault="00CD484C">
            <w:pPr>
              <w:jc w:val="center"/>
              <w:rPr>
                <w:sz w:val="18"/>
                <w:szCs w:val="16"/>
              </w:rPr>
            </w:pPr>
            <w:r>
              <w:rPr>
                <w:sz w:val="18"/>
                <w:szCs w:val="16"/>
              </w:rPr>
              <w:t>30(27,03)</w:t>
            </w:r>
          </w:p>
        </w:tc>
        <w:tc>
          <w:tcPr>
            <w:tcW w:w="834" w:type="pct"/>
            <w:shd w:val="pct5" w:color="000000" w:fill="FFFFFF"/>
            <w:vAlign w:val="center"/>
          </w:tcPr>
          <w:p w14:paraId="33050E18" w14:textId="77777777" w:rsidR="00CD484C" w:rsidRDefault="00CD484C">
            <w:pPr>
              <w:jc w:val="center"/>
              <w:rPr>
                <w:sz w:val="18"/>
                <w:szCs w:val="16"/>
              </w:rPr>
            </w:pPr>
            <w:r>
              <w:rPr>
                <w:sz w:val="18"/>
                <w:szCs w:val="16"/>
              </w:rPr>
              <w:t>72(64,86)</w:t>
            </w:r>
          </w:p>
        </w:tc>
        <w:tc>
          <w:tcPr>
            <w:tcW w:w="1358" w:type="pct"/>
            <w:shd w:val="pct5" w:color="000000" w:fill="FFFFFF"/>
            <w:vAlign w:val="center"/>
          </w:tcPr>
          <w:p w14:paraId="63FA8290" w14:textId="77777777" w:rsidR="00CD484C" w:rsidRDefault="00CD484C">
            <w:pPr>
              <w:ind w:hanging="30"/>
              <w:jc w:val="center"/>
              <w:rPr>
                <w:sz w:val="18"/>
                <w:szCs w:val="16"/>
              </w:rPr>
            </w:pPr>
            <w:r>
              <w:rPr>
                <w:sz w:val="18"/>
                <w:szCs w:val="16"/>
              </w:rPr>
              <w:t>111 (100%)</w:t>
            </w:r>
          </w:p>
        </w:tc>
      </w:tr>
    </w:tbl>
    <w:p w14:paraId="040B40E7" w14:textId="48032086" w:rsidR="00CD484C" w:rsidRDefault="00395416">
      <w:pPr>
        <w:ind w:firstLine="397"/>
        <w:jc w:val="both"/>
        <w:rPr>
          <w:sz w:val="20"/>
          <w:szCs w:val="16"/>
        </w:rPr>
      </w:pPr>
      <w:r>
        <w:rPr>
          <w:noProof/>
          <w:sz w:val="20"/>
          <w:szCs w:val="16"/>
        </w:rPr>
        <w:lastRenderedPageBreak/>
        <mc:AlternateContent>
          <mc:Choice Requires="wps">
            <w:drawing>
              <wp:anchor distT="0" distB="0" distL="114300" distR="114300" simplePos="0" relativeHeight="251656704" behindDoc="0" locked="1" layoutInCell="1" allowOverlap="1" wp14:anchorId="1CB98E39" wp14:editId="1055D618">
                <wp:simplePos x="0" y="0"/>
                <wp:positionH relativeFrom="column">
                  <wp:posOffset>0</wp:posOffset>
                </wp:positionH>
                <wp:positionV relativeFrom="paragraph">
                  <wp:posOffset>-252730</wp:posOffset>
                </wp:positionV>
                <wp:extent cx="4095750" cy="186690"/>
                <wp:effectExtent l="0" t="1905" r="3810" b="1905"/>
                <wp:wrapNone/>
                <wp:docPr id="911589601"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14D4B"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2C5EF6B0"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98E39" id="Text Box 215" o:spid="_x0000_s1062" type="#_x0000_t202" style="position:absolute;left:0;text-align:left;margin-left:0;margin-top:-19.9pt;width:322.5pt;height:14.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DRm0K7wEAAMIDAAAOAAAAAAAAAAAAAAAAAC4CAABkcnMvZTJv&#10;RG9jLnhtbFBLAQItABQABgAIAAAAIQCnTgMH3gAAAAgBAAAPAAAAAAAAAAAAAAAAAEkEAABkcnMv&#10;ZG93bnJldi54bWxQSwUGAAAAAAQABADzAAAAVAUAAAAA&#10;" stroked="f">
                <v:textbox inset="0,0,0,0">
                  <w:txbxContent>
                    <w:p w14:paraId="26E14D4B"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2C5EF6B0" w14:textId="77777777" w:rsidR="00AE2133" w:rsidRDefault="00AE2133">
                      <w:pPr>
                        <w:rPr>
                          <w:b/>
                          <w:bCs/>
                          <w:sz w:val="2"/>
                          <w:u w:val="single"/>
                        </w:rPr>
                      </w:pPr>
                    </w:p>
                  </w:txbxContent>
                </v:textbox>
                <w10:anchorlock/>
              </v:shape>
            </w:pict>
          </mc:Fallback>
        </mc:AlternateContent>
      </w:r>
      <w:r w:rsidR="00CD484C">
        <w:rPr>
          <w:sz w:val="20"/>
          <w:szCs w:val="16"/>
        </w:rPr>
        <w:t xml:space="preserve">Вернувшись несколько назад, рассмотрим хронолого-эмиссионное распределение клада Яз-Кираги /Рис. 4/, воспользовавшись методикой В.Л. Янина, памятуя о том, что клад является двучастным и обстоятельства находки не позволяют быть полностью уверенным том, что перед нами  один клада, а не, скажем, – два. Итак, рассматривая распределение на Рис.3, можно выделить 4 ХГ клада (помня при этом о разрыве между 197 и 252 гг.х.). 1. старшая группа монет – до 197 г.х.; 2 средние: в диапазоне 253–283 г.х и 283–313. И, наконец, младшая 4-я ХГ монет клада Яз-Кираги с диапазоном чеканки 313–342 г.х. </w:t>
      </w:r>
    </w:p>
    <w:p w14:paraId="3EC58E2C" w14:textId="77777777" w:rsidR="00CD484C" w:rsidRDefault="00CD484C">
      <w:pPr>
        <w:ind w:firstLine="397"/>
        <w:jc w:val="both"/>
        <w:rPr>
          <w:spacing w:val="-2"/>
          <w:sz w:val="20"/>
          <w:szCs w:val="16"/>
        </w:rPr>
      </w:pPr>
      <w:r>
        <w:rPr>
          <w:spacing w:val="-2"/>
          <w:sz w:val="20"/>
          <w:szCs w:val="16"/>
        </w:rPr>
        <w:t>Сопоставляя графики хронологических распределений кладов Банбаши /Рис. 3/ и клада Яз-Кираги /Рис. 4/ нетрудно убедиться, что даже чисто внешне последний клад в силу большого числа отложившихся в нем монет выглядит внушительней. Подобное впечатление, однако, не должно заслонить от нас того факта, что графические слепки кладов, представленные на иллюстрациях позволяют высказать предположение об однотипности образования данных депозитов и состояние денежного обращения в Закавказье, что в свою очередь, позволяет заключить о том, что, во-первых, лакуны в графиках распределений обозначают не что иное как особенности денежного обращения в Закавказье, и, во-вторых, нумизматика располагает сведениями только о двух кладах Азербайджана.</w:t>
      </w:r>
    </w:p>
    <w:p w14:paraId="3BEC06ED" w14:textId="77777777" w:rsidR="00CD484C" w:rsidRDefault="00CD484C">
      <w:pPr>
        <w:ind w:firstLine="397"/>
        <w:jc w:val="both"/>
        <w:rPr>
          <w:sz w:val="20"/>
          <w:szCs w:val="16"/>
        </w:rPr>
      </w:pPr>
      <w:r>
        <w:rPr>
          <w:sz w:val="20"/>
          <w:szCs w:val="16"/>
        </w:rPr>
        <w:t>Понятно, все вышесказанное демонстрирует огромный эвристический потенциал методики анализа кладов.</w:t>
      </w:r>
    </w:p>
    <w:p w14:paraId="68D27CE0" w14:textId="77777777" w:rsidR="00CD484C" w:rsidRDefault="00CD484C">
      <w:pPr>
        <w:ind w:firstLine="397"/>
        <w:jc w:val="both"/>
        <w:rPr>
          <w:spacing w:val="-2"/>
          <w:sz w:val="20"/>
          <w:szCs w:val="16"/>
        </w:rPr>
      </w:pPr>
      <w:r>
        <w:rPr>
          <w:spacing w:val="-2"/>
          <w:sz w:val="20"/>
          <w:szCs w:val="16"/>
        </w:rPr>
        <w:t>Одной из особенностей состояния денежного обращения Азербайджана, что вытекает из анализа хронологического состава кладов, является то обстоятельство, согласно которому старшие монеты, т.е. монеты, выпущенные до 253 г.х. сами выступает в роли первичного депозита по отношению  к основной, определяющей по В.Л. Янину, группе монет, т.е., они прямо не участвовали в денежном обращении, являясь его «реликтами», требующие специального изучения. Таким образом, определяющий состав денежного обращения укладывается, в рамках используемой методики, в хронологическом диапазоне равный 90 лет. В плане общей характеристики клада Яз-Кираги, остается добавить, что группой монет, олицетворяющей собой обновление  хронологического состава денежного обращения, являются монеты, выпущенные в последнее 30-летие, предшествующие младшей монете и, прежде всего, младшая ХГ.</w:t>
      </w:r>
    </w:p>
    <w:p w14:paraId="6E0D81DA" w14:textId="77777777" w:rsidR="00CD484C" w:rsidRDefault="00CD484C">
      <w:pPr>
        <w:ind w:firstLine="397"/>
        <w:jc w:val="both"/>
        <w:rPr>
          <w:spacing w:val="-2"/>
          <w:sz w:val="20"/>
          <w:szCs w:val="16"/>
        </w:rPr>
      </w:pPr>
      <w:r>
        <w:rPr>
          <w:spacing w:val="-2"/>
          <w:sz w:val="20"/>
          <w:szCs w:val="16"/>
        </w:rPr>
        <w:t xml:space="preserve">Младшие монеты /5 экз./ клада Яз-Кираги 342/953–954 г. – это, прежде всего, монеты Бувейхидов с географией чеканки самой отдаленных провинций Ирана  и Ирака – города Персидского залива – ал-Басра – Ал-Ахваз – Арраджан – Шираз. Их монеты хорошо известны по кладам Восточной и Северной Европы. Обращает на себя внимание саманидский дирхем нишапурской чеканки также 342 г.х.. Эта монета вкупе с другими маверанахрскими монетами Самаркандской в прежде всего эмиссии  демонстрирует наличие </w:t>
      </w:r>
      <w:r>
        <w:rPr>
          <w:spacing w:val="-2"/>
          <w:sz w:val="20"/>
          <w:szCs w:val="16"/>
        </w:rPr>
        <w:lastRenderedPageBreak/>
        <w:t>торгового пути из Согда и Чача на Ближний Восток, где, быть может в ал-Мухамадии они также как и последние буидские монеты закавказских кладов монеты и были приобретены. Т.О. саманидские монеты восточной чеканки демонстрируют наличие функционирование весьма значительного отрезка Великого шелкового пути, как видно из материалов данных в первой половине Х в., также как и впрочем, младшие буидские дирхемы – пути с берегов Персидского залива в предгорья Кавказа.</w:t>
      </w:r>
    </w:p>
    <w:p w14:paraId="173B784A" w14:textId="77777777" w:rsidR="00CD484C" w:rsidRDefault="00CD484C">
      <w:pPr>
        <w:ind w:firstLine="397"/>
        <w:jc w:val="both"/>
        <w:rPr>
          <w:sz w:val="20"/>
          <w:szCs w:val="16"/>
        </w:rPr>
      </w:pPr>
      <w:r>
        <w:rPr>
          <w:sz w:val="20"/>
          <w:szCs w:val="16"/>
        </w:rPr>
        <w:t>Поскольку на изменение состава денежного обращения,  наибольшую  роль играли эмиссии новых династий  Бувейхидов (Буидов) и Саманидов, выделим их монеты, представленные в трех последних ХГ азербайджанских кладов в отдельное распределение, представленное в табл. 2.</w:t>
      </w:r>
    </w:p>
    <w:p w14:paraId="5F827E88" w14:textId="77777777" w:rsidR="00CD484C" w:rsidRDefault="00CD484C">
      <w:pPr>
        <w:ind w:firstLine="397"/>
        <w:jc w:val="both"/>
        <w:rPr>
          <w:sz w:val="20"/>
          <w:szCs w:val="16"/>
        </w:rPr>
      </w:pPr>
      <w:r>
        <w:rPr>
          <w:sz w:val="20"/>
          <w:szCs w:val="16"/>
        </w:rPr>
        <w:t>Как видно из таблицы 2, наиболее подвержены изменениям оказались две младшие группы монет – при практически полном отсутствии аббасидского чекана монетный фонд обновлялся за счет притока бувейхидских, прежде всего, и саманидской монеты. Отметим полное отсутствие в младшей хронологической группе в постаббасидской части клада Банбаши монет Саманидской державы, тогда как ее процент в предыдущей группе составляет почти 50%.</w:t>
      </w:r>
    </w:p>
    <w:p w14:paraId="2C3D0478" w14:textId="77777777" w:rsidR="00CD484C" w:rsidRDefault="00CD484C">
      <w:pPr>
        <w:tabs>
          <w:tab w:val="left" w:pos="567"/>
          <w:tab w:val="left" w:pos="2268"/>
          <w:tab w:val="left" w:pos="2694"/>
        </w:tabs>
        <w:ind w:firstLine="397"/>
        <w:jc w:val="both"/>
        <w:rPr>
          <w:color w:val="000000"/>
          <w:sz w:val="20"/>
          <w:szCs w:val="16"/>
        </w:rPr>
      </w:pPr>
      <w:r>
        <w:rPr>
          <w:color w:val="000000"/>
          <w:sz w:val="20"/>
          <w:szCs w:val="16"/>
        </w:rPr>
        <w:t>Если в средней ХГ кл.Банбаши саманидские монеты составляют почти половину при полном отсутствии  таковых в мл.ХГ, то в последней ее отсутствие не смог компенсировать чекан местных династий. А с учетом одинакового поступления дензнаков Бувейхидов – младшая ХГ клада Банбаши не стала превалирующей.</w:t>
      </w:r>
    </w:p>
    <w:p w14:paraId="3BE13A00" w14:textId="77777777" w:rsidR="00CD484C" w:rsidRDefault="00CD484C">
      <w:pPr>
        <w:tabs>
          <w:tab w:val="left" w:pos="567"/>
          <w:tab w:val="left" w:pos="2268"/>
          <w:tab w:val="left" w:pos="2694"/>
        </w:tabs>
        <w:ind w:firstLine="397"/>
        <w:jc w:val="both"/>
        <w:rPr>
          <w:color w:val="000000"/>
          <w:sz w:val="20"/>
          <w:szCs w:val="16"/>
        </w:rPr>
      </w:pPr>
      <w:r>
        <w:rPr>
          <w:color w:val="000000"/>
          <w:sz w:val="20"/>
          <w:szCs w:val="16"/>
        </w:rPr>
        <w:t>В тоже время «прирост» Буидских монет в мл.ХГ в сравнении с предшествующей ХГ составляет 0,75 против 0,545  (по отношению к числу монет в конкретной ХГ), что сделало клад Банбаши консервативным и прирост новых монет едва достиг 72,7%</w:t>
      </w:r>
    </w:p>
    <w:p w14:paraId="4A7AD3A3" w14:textId="77777777" w:rsidR="00CD484C" w:rsidRDefault="00CD484C">
      <w:pPr>
        <w:tabs>
          <w:tab w:val="left" w:pos="567"/>
          <w:tab w:val="left" w:pos="2268"/>
          <w:tab w:val="left" w:pos="2694"/>
        </w:tabs>
        <w:ind w:firstLine="397"/>
        <w:jc w:val="both"/>
        <w:rPr>
          <w:color w:val="000000"/>
          <w:sz w:val="20"/>
          <w:szCs w:val="16"/>
        </w:rPr>
      </w:pPr>
      <w:r>
        <w:rPr>
          <w:color w:val="000000"/>
          <w:sz w:val="20"/>
          <w:szCs w:val="16"/>
        </w:rPr>
        <w:t>Соотношение двух мл.ХГ клада Яз-Кираги демонстрирует совершенно иную картину Здесь отмечается интенсивное поступление всех без исключения монет правящих династий, а чекан Бувейхидов достиг 50% всего объема обращавшихся монет двух последних десятилетий. При этом соотношение мл.ХГ к ХГ ей предшествующей как 3,36 демонстрирует фиксацию транзитного саманидо-бувейхидского потока.</w:t>
      </w:r>
    </w:p>
    <w:p w14:paraId="6515F28C" w14:textId="77777777" w:rsidR="00CD484C" w:rsidRDefault="00CD484C">
      <w:pPr>
        <w:ind w:firstLine="397"/>
        <w:jc w:val="both"/>
        <w:rPr>
          <w:sz w:val="20"/>
          <w:szCs w:val="16"/>
        </w:rPr>
      </w:pPr>
      <w:r>
        <w:rPr>
          <w:sz w:val="20"/>
          <w:szCs w:val="16"/>
        </w:rPr>
        <w:t>В дополнение к табл. 2, приведем суммарное соотношение монет, распределенных по династийному составу трех младших ХГ азербайджанских кладов. Из 111 монет – 18 (16,21%) составили монеты малых династий; 34(30,63%) – саманидские и 59(53,15%) – эмиссия Бувейхидов, показывающий активное присутствие саманидского чекана на рынке Северо-Западного Ирана и Азербайджана</w:t>
      </w:r>
    </w:p>
    <w:p w14:paraId="1606D900" w14:textId="1CC22F3C" w:rsidR="00CD484C" w:rsidRDefault="00CD484C">
      <w:pPr>
        <w:ind w:firstLine="397"/>
        <w:jc w:val="both"/>
        <w:rPr>
          <w:sz w:val="20"/>
          <w:szCs w:val="16"/>
        </w:rPr>
      </w:pPr>
      <w:r>
        <w:rPr>
          <w:sz w:val="20"/>
          <w:szCs w:val="16"/>
        </w:rPr>
        <w:t xml:space="preserve">Мл.часть Банбаши показывает, что до данного  потребителя металла характеризовалось внутренним обращение, при быстром прохождении новейших монет, отложившихся в кл. Яз-Кираги, что свидетельствует о </w:t>
      </w:r>
      <w:r w:rsidR="00395416">
        <w:rPr>
          <w:noProof/>
          <w:sz w:val="20"/>
          <w:szCs w:val="16"/>
        </w:rPr>
        <w:lastRenderedPageBreak/>
        <mc:AlternateContent>
          <mc:Choice Requires="wps">
            <w:drawing>
              <wp:anchor distT="0" distB="0" distL="114300" distR="114300" simplePos="0" relativeHeight="251657728" behindDoc="0" locked="1" layoutInCell="1" allowOverlap="1" wp14:anchorId="1591D8FB" wp14:editId="5323BACD">
                <wp:simplePos x="0" y="0"/>
                <wp:positionH relativeFrom="column">
                  <wp:posOffset>0</wp:posOffset>
                </wp:positionH>
                <wp:positionV relativeFrom="paragraph">
                  <wp:posOffset>-252730</wp:posOffset>
                </wp:positionV>
                <wp:extent cx="4095750" cy="186690"/>
                <wp:effectExtent l="0" t="1905" r="3810" b="1905"/>
                <wp:wrapNone/>
                <wp:docPr id="43872241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43336"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64AD874A"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1D8FB" id="Text Box 216" o:spid="_x0000_s1063" type="#_x0000_t202" style="position:absolute;left:0;text-align:left;margin-left:0;margin-top:-19.9pt;width:322.5pt;height:14.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" stroked="f">
                <v:textbox inset="0,0,0,0">
                  <w:txbxContent>
                    <w:p w14:paraId="42843336"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64AD874A" w14:textId="77777777" w:rsidR="00AE2133" w:rsidRDefault="00AE2133">
                      <w:pPr>
                        <w:rPr>
                          <w:b/>
                          <w:bCs/>
                          <w:sz w:val="2"/>
                          <w:u w:val="single"/>
                        </w:rPr>
                      </w:pPr>
                    </w:p>
                  </w:txbxContent>
                </v:textbox>
                <w10:anchorlock/>
              </v:shape>
            </w:pict>
          </mc:Fallback>
        </mc:AlternateContent>
      </w:r>
      <w:r>
        <w:rPr>
          <w:sz w:val="20"/>
          <w:szCs w:val="16"/>
        </w:rPr>
        <w:t>разных емкостях денежного рынка, представленные рассмотренными памятниками.</w:t>
      </w:r>
    </w:p>
    <w:p w14:paraId="1FBF9D4F" w14:textId="77777777" w:rsidR="00CD484C" w:rsidRDefault="00CD484C">
      <w:pPr>
        <w:ind w:firstLine="397"/>
        <w:jc w:val="both"/>
        <w:rPr>
          <w:sz w:val="20"/>
          <w:szCs w:val="16"/>
        </w:rPr>
      </w:pPr>
      <w:r>
        <w:rPr>
          <w:sz w:val="20"/>
          <w:szCs w:val="16"/>
        </w:rPr>
        <w:t>Постаббасидская часть клада Яз-Кираги составляет 91 монету из 225, тогда как подобная составляющая кл. Банбаши – 21 из 61, что позволяет вывести соотношения смены состава денежного обращения, представленного данными материалами как 0,4 и 0,34 соответственно. Полученный результат сделан на основе изучения смены династийного состава кладов, что предполагает, в дальнейшем рассмотрение данного  вопроса на основе изучения  смены хронологического состава данных кладов.</w:t>
      </w:r>
    </w:p>
    <w:p w14:paraId="15029E0B" w14:textId="77777777" w:rsidR="00CD484C" w:rsidRDefault="00CD484C">
      <w:pPr>
        <w:ind w:firstLine="397"/>
        <w:jc w:val="both"/>
        <w:rPr>
          <w:sz w:val="20"/>
          <w:szCs w:val="16"/>
        </w:rPr>
      </w:pPr>
      <w:r>
        <w:rPr>
          <w:sz w:val="20"/>
          <w:szCs w:val="16"/>
        </w:rPr>
        <w:t xml:space="preserve">Превышение постаббасидской чеканки в кладе Яз-Кираги в сравнении с Банбаши позволяет утверждать, что импульс чеканки как бувейхидской, так и саманидской прошел через кл.Банбаши транзитом и аккумулировался в Яз-Кираги. Сказанное позволяет сделать предположение, состоящее в том, что в данном кладе был зафиксирована часть монетного импульса, проследовавшего транзитом через Муганскую равнину и далее в равнину Ширванскую. Следовательно, есть основания говорить о монетном импульсе в странах халифата в десятилетие, предшествующее 342/934 г. – наличие ММ самых удаленных эмиссионных центров – бувейхидского Ирана – Басры, Арраджана, Ахваза и Шираза и отсутствие промежуточного звена говорит о площади охвата и снижении значения Багдада, который уже к этому времени потерял значение финансовой столицы Халифата – чеканка все более дифференцировалась по отдельным провинциям и отражала не только теократические, а скорее центробежные в плане политики тенденции в Западном Иране, но и  экономический развал, который, вместе с тем, был детерминирован торговлей с Севером. </w:t>
      </w:r>
    </w:p>
    <w:p w14:paraId="2075C445" w14:textId="77777777" w:rsidR="00CD484C" w:rsidRDefault="00CD484C">
      <w:pPr>
        <w:ind w:firstLine="397"/>
        <w:jc w:val="both"/>
        <w:rPr>
          <w:spacing w:val="-3"/>
          <w:sz w:val="20"/>
          <w:szCs w:val="16"/>
        </w:rPr>
      </w:pPr>
      <w:r>
        <w:rPr>
          <w:spacing w:val="-3"/>
          <w:sz w:val="20"/>
          <w:szCs w:val="16"/>
        </w:rPr>
        <w:t>Согласно В.Ф. Минорскому (Минорский В.Ф., 1963, с.196), приведшему данные арабского энциклопедиста ал-Мас’уди (ум.в 956 г.)  на Востоке ценились шкурки лисиц «ценою в 100 динаров или даже больше. Арабские и персидские цари гордились мехами, и немыслимо было, чтобы царь не имел кафтана или шубы, подбитые этими лисицами бургаси»</w:t>
      </w:r>
      <w:r>
        <w:rPr>
          <w:rStyle w:val="a6"/>
          <w:spacing w:val="-3"/>
          <w:sz w:val="20"/>
          <w:szCs w:val="16"/>
        </w:rPr>
        <w:footnoteReference w:customMarkFollows="1" w:id="51"/>
        <w:t>4</w:t>
      </w:r>
      <w:r>
        <w:rPr>
          <w:spacing w:val="-3"/>
          <w:sz w:val="20"/>
          <w:szCs w:val="16"/>
        </w:rPr>
        <w:t>. Они доставлялись на Передний Восток посредством Хазарии в том числе и через Дербент (Минорсий В.Ф., 1963, с.87; Новосельцев А.П., 1990. – С. 116, 196), который являлся торговым соперником Итиля (Коновалова И.Г,  1997. – С. 25)</w:t>
      </w:r>
      <w:r>
        <w:rPr>
          <w:rStyle w:val="a6"/>
          <w:spacing w:val="-3"/>
          <w:sz w:val="20"/>
          <w:szCs w:val="16"/>
        </w:rPr>
        <w:footnoteReference w:customMarkFollows="1" w:id="52"/>
        <w:t>5</w:t>
      </w:r>
      <w:r>
        <w:rPr>
          <w:spacing w:val="-3"/>
          <w:sz w:val="20"/>
          <w:szCs w:val="16"/>
        </w:rPr>
        <w:t>.</w:t>
      </w:r>
    </w:p>
    <w:p w14:paraId="60F74E5A" w14:textId="77777777" w:rsidR="00CD484C" w:rsidRDefault="00CD484C">
      <w:pPr>
        <w:ind w:firstLine="397"/>
        <w:jc w:val="both"/>
        <w:rPr>
          <w:spacing w:val="-3"/>
          <w:sz w:val="20"/>
          <w:szCs w:val="16"/>
        </w:rPr>
      </w:pPr>
      <w:r>
        <w:rPr>
          <w:spacing w:val="-3"/>
          <w:sz w:val="20"/>
          <w:szCs w:val="16"/>
        </w:rPr>
        <w:t xml:space="preserve">Нишапурская ММ клада Яз-Кираги отражает путь саманидской монеты, документируемый дирхемами, прежде всего самаркандской эмиссии 333–341(?)/945–952 гг., которой в Закавказье шел через Бухару – Мерв – Нишапур </w:t>
      </w:r>
      <w:r>
        <w:rPr>
          <w:spacing w:val="-3"/>
          <w:sz w:val="20"/>
          <w:szCs w:val="16"/>
        </w:rPr>
        <w:lastRenderedPageBreak/>
        <w:t>– Джурджан (?) – ал-Мухамедия – Ардебиль. В обоих азербайджанских кладах, напомним ММ является дирхем эмитированный в Ширазе. Отсутствие новых монет Саманидов в кл.Банбаши, при наличии монет чекана Мухаамадии (вкупе ММ Шираза) и, наоборот, присутствие новейших саманидских монет в кл. Яз-Кираги, свидетельствующие о транзитном прохождении новейшего саманидо-бувейхидского потока, позволяет высказать предположение о разных сегментах денежно-монетных рынков, служившие источником возникновения кроющих частей азербайджанских кладов.</w:t>
      </w:r>
    </w:p>
    <w:p w14:paraId="0A85B0E2" w14:textId="77777777" w:rsidR="00CD484C" w:rsidRDefault="00CD484C">
      <w:pPr>
        <w:ind w:firstLine="397"/>
        <w:jc w:val="both"/>
        <w:rPr>
          <w:sz w:val="20"/>
          <w:szCs w:val="16"/>
        </w:rPr>
      </w:pPr>
      <w:r>
        <w:rPr>
          <w:sz w:val="20"/>
          <w:szCs w:val="16"/>
        </w:rPr>
        <w:t xml:space="preserve">Наконец, рассматривая соотношения бувейхидского и саманидского чеканов – нетрудно заметить превалирование чекана первого,  легко объяснимого географической близостью монетных дворов-эмитентов. </w:t>
      </w:r>
    </w:p>
    <w:p w14:paraId="45DF8DF1" w14:textId="77777777" w:rsidR="00CD484C" w:rsidRDefault="00CD484C">
      <w:pPr>
        <w:pStyle w:val="a7"/>
        <w:ind w:firstLine="397"/>
        <w:rPr>
          <w:sz w:val="20"/>
          <w:szCs w:val="16"/>
          <w:lang w:val="ru-RU"/>
        </w:rPr>
      </w:pPr>
      <w:r>
        <w:rPr>
          <w:sz w:val="20"/>
          <w:szCs w:val="16"/>
          <w:lang w:val="ru-RU"/>
        </w:rPr>
        <w:t>Значительный интерес представляет аббасидская часть кладов, которую как представляется, следует охарактеризовать  совместно. /Табл. 3/.</w:t>
      </w:r>
    </w:p>
    <w:p w14:paraId="2C55271A" w14:textId="77777777" w:rsidR="00CD484C" w:rsidRDefault="00CD484C">
      <w:pPr>
        <w:ind w:firstLine="397"/>
        <w:jc w:val="both"/>
        <w:rPr>
          <w:i/>
          <w:iCs/>
          <w:sz w:val="18"/>
          <w:szCs w:val="16"/>
        </w:rPr>
      </w:pPr>
    </w:p>
    <w:p w14:paraId="59C9CE09" w14:textId="77777777" w:rsidR="00CD484C" w:rsidRDefault="00CD484C">
      <w:pPr>
        <w:ind w:firstLine="397"/>
        <w:jc w:val="right"/>
        <w:rPr>
          <w:i/>
          <w:iCs/>
          <w:sz w:val="20"/>
          <w:szCs w:val="16"/>
        </w:rPr>
      </w:pPr>
      <w:r>
        <w:rPr>
          <w:i/>
          <w:iCs/>
          <w:sz w:val="20"/>
          <w:szCs w:val="16"/>
        </w:rPr>
        <w:t xml:space="preserve">Таблица 3 </w:t>
      </w:r>
    </w:p>
    <w:p w14:paraId="2DF214F3" w14:textId="77777777" w:rsidR="00CD484C" w:rsidRDefault="00CD484C">
      <w:pPr>
        <w:pStyle w:val="8"/>
        <w:spacing w:after="120"/>
        <w:rPr>
          <w:bCs/>
        </w:rPr>
      </w:pPr>
      <w:r>
        <w:rPr>
          <w:bCs/>
        </w:rPr>
        <w:t>Аббасидская составляющая Закавказских кладов*</w:t>
      </w:r>
    </w:p>
    <w:tbl>
      <w:tblPr>
        <w:tblW w:w="5610" w:type="dxa"/>
        <w:jc w:val="center"/>
        <w:tblLayout w:type="fixed"/>
        <w:tblCellMar>
          <w:left w:w="30" w:type="dxa"/>
          <w:right w:w="30" w:type="dxa"/>
        </w:tblCellMar>
        <w:tblLook w:val="00A0" w:firstRow="1" w:lastRow="0" w:firstColumn="1" w:lastColumn="0" w:noHBand="0" w:noVBand="0"/>
      </w:tblPr>
      <w:tblGrid>
        <w:gridCol w:w="1110"/>
        <w:gridCol w:w="900"/>
        <w:gridCol w:w="1080"/>
        <w:gridCol w:w="1080"/>
        <w:gridCol w:w="1440"/>
      </w:tblGrid>
      <w:tr w:rsidR="00CD484C" w14:paraId="53F08092" w14:textId="77777777">
        <w:trPr>
          <w:trHeight w:val="260"/>
          <w:jc w:val="center"/>
        </w:trPr>
        <w:tc>
          <w:tcPr>
            <w:tcW w:w="1110" w:type="dxa"/>
            <w:tcBorders>
              <w:top w:val="single" w:sz="12" w:space="0" w:color="000000"/>
              <w:left w:val="nil"/>
              <w:bottom w:val="single" w:sz="6" w:space="0" w:color="000000"/>
            </w:tcBorders>
          </w:tcPr>
          <w:p w14:paraId="3B1A7469" w14:textId="77777777" w:rsidR="00CD484C" w:rsidRDefault="00CD484C">
            <w:pPr>
              <w:pStyle w:val="1"/>
              <w:overflowPunct/>
              <w:autoSpaceDE/>
              <w:autoSpaceDN/>
              <w:adjustRightInd/>
              <w:jc w:val="center"/>
              <w:textAlignment w:val="auto"/>
              <w:rPr>
                <w:sz w:val="18"/>
                <w:szCs w:val="16"/>
                <w:lang w:val="ru-RU"/>
              </w:rPr>
            </w:pPr>
            <w:r>
              <w:rPr>
                <w:sz w:val="18"/>
                <w:szCs w:val="16"/>
                <w:lang w:val="ru-RU"/>
              </w:rPr>
              <w:t>Клады</w:t>
            </w:r>
          </w:p>
        </w:tc>
        <w:tc>
          <w:tcPr>
            <w:tcW w:w="900" w:type="dxa"/>
            <w:tcBorders>
              <w:top w:val="single" w:sz="12" w:space="0" w:color="000000"/>
              <w:bottom w:val="single" w:sz="6" w:space="0" w:color="000000"/>
            </w:tcBorders>
          </w:tcPr>
          <w:p w14:paraId="00F0BA96" w14:textId="77777777" w:rsidR="00CD484C" w:rsidRDefault="00CD484C">
            <w:pPr>
              <w:jc w:val="center"/>
              <w:rPr>
                <w:i/>
                <w:sz w:val="18"/>
                <w:szCs w:val="16"/>
              </w:rPr>
            </w:pPr>
            <w:r>
              <w:rPr>
                <w:i/>
                <w:sz w:val="18"/>
                <w:szCs w:val="16"/>
              </w:rPr>
              <w:t>313–322</w:t>
            </w:r>
          </w:p>
        </w:tc>
        <w:tc>
          <w:tcPr>
            <w:tcW w:w="1080" w:type="dxa"/>
            <w:tcBorders>
              <w:top w:val="single" w:sz="12" w:space="0" w:color="000000"/>
              <w:bottom w:val="single" w:sz="6" w:space="0" w:color="000000"/>
            </w:tcBorders>
          </w:tcPr>
          <w:p w14:paraId="2E32C92F" w14:textId="77777777" w:rsidR="00CD484C" w:rsidRDefault="00CD484C">
            <w:pPr>
              <w:jc w:val="center"/>
              <w:rPr>
                <w:i/>
                <w:sz w:val="18"/>
                <w:szCs w:val="16"/>
              </w:rPr>
            </w:pPr>
            <w:r>
              <w:rPr>
                <w:i/>
                <w:sz w:val="18"/>
                <w:szCs w:val="16"/>
              </w:rPr>
              <w:t>323–332</w:t>
            </w:r>
          </w:p>
        </w:tc>
        <w:tc>
          <w:tcPr>
            <w:tcW w:w="1080" w:type="dxa"/>
            <w:tcBorders>
              <w:top w:val="single" w:sz="12" w:space="0" w:color="000000"/>
              <w:bottom w:val="single" w:sz="6" w:space="0" w:color="000000"/>
            </w:tcBorders>
          </w:tcPr>
          <w:p w14:paraId="6D5CEEDB" w14:textId="77777777" w:rsidR="00CD484C" w:rsidRDefault="00CD484C">
            <w:pPr>
              <w:jc w:val="center"/>
              <w:rPr>
                <w:i/>
                <w:sz w:val="18"/>
                <w:szCs w:val="16"/>
              </w:rPr>
            </w:pPr>
            <w:r>
              <w:rPr>
                <w:i/>
                <w:sz w:val="18"/>
                <w:szCs w:val="16"/>
              </w:rPr>
              <w:t>333–342</w:t>
            </w:r>
          </w:p>
        </w:tc>
        <w:tc>
          <w:tcPr>
            <w:tcW w:w="1440" w:type="dxa"/>
            <w:tcBorders>
              <w:top w:val="single" w:sz="12" w:space="0" w:color="000000"/>
              <w:bottom w:val="single" w:sz="6" w:space="0" w:color="000000"/>
            </w:tcBorders>
          </w:tcPr>
          <w:p w14:paraId="21444AA6" w14:textId="77777777" w:rsidR="00CD484C" w:rsidRDefault="00CD484C">
            <w:pPr>
              <w:pStyle w:val="1"/>
              <w:overflowPunct/>
              <w:autoSpaceDE/>
              <w:autoSpaceDN/>
              <w:adjustRightInd/>
              <w:jc w:val="center"/>
              <w:textAlignment w:val="auto"/>
              <w:rPr>
                <w:sz w:val="18"/>
                <w:szCs w:val="16"/>
                <w:lang w:val="ru-RU"/>
              </w:rPr>
            </w:pPr>
            <w:r>
              <w:rPr>
                <w:sz w:val="18"/>
                <w:szCs w:val="16"/>
                <w:lang w:val="ru-RU"/>
              </w:rPr>
              <w:t>Кол-во монет</w:t>
            </w:r>
          </w:p>
        </w:tc>
      </w:tr>
      <w:tr w:rsidR="00CD484C" w14:paraId="0A951F2C" w14:textId="77777777">
        <w:trPr>
          <w:trHeight w:val="260"/>
          <w:jc w:val="center"/>
        </w:trPr>
        <w:tc>
          <w:tcPr>
            <w:tcW w:w="1110" w:type="dxa"/>
            <w:tcBorders>
              <w:left w:val="nil"/>
            </w:tcBorders>
          </w:tcPr>
          <w:p w14:paraId="4C8138B4" w14:textId="77777777" w:rsidR="00CD484C" w:rsidRDefault="00CD484C">
            <w:pPr>
              <w:jc w:val="both"/>
              <w:rPr>
                <w:sz w:val="18"/>
                <w:szCs w:val="16"/>
              </w:rPr>
            </w:pPr>
            <w:r>
              <w:rPr>
                <w:sz w:val="18"/>
                <w:szCs w:val="16"/>
              </w:rPr>
              <w:t>Бзован</w:t>
            </w:r>
          </w:p>
        </w:tc>
        <w:tc>
          <w:tcPr>
            <w:tcW w:w="900" w:type="dxa"/>
          </w:tcPr>
          <w:p w14:paraId="14693F2A" w14:textId="77777777" w:rsidR="00CD484C" w:rsidRDefault="00CD484C">
            <w:pPr>
              <w:jc w:val="center"/>
              <w:rPr>
                <w:sz w:val="18"/>
                <w:szCs w:val="16"/>
              </w:rPr>
            </w:pPr>
            <w:r>
              <w:rPr>
                <w:sz w:val="18"/>
                <w:szCs w:val="16"/>
              </w:rPr>
              <w:t>2(9,5%)</w:t>
            </w:r>
          </w:p>
        </w:tc>
        <w:tc>
          <w:tcPr>
            <w:tcW w:w="1080" w:type="dxa"/>
          </w:tcPr>
          <w:p w14:paraId="24A8E5B5" w14:textId="77777777" w:rsidR="00CD484C" w:rsidRDefault="00CD484C">
            <w:pPr>
              <w:jc w:val="center"/>
              <w:rPr>
                <w:sz w:val="18"/>
                <w:szCs w:val="16"/>
              </w:rPr>
            </w:pPr>
            <w:r>
              <w:rPr>
                <w:sz w:val="18"/>
                <w:szCs w:val="16"/>
              </w:rPr>
              <w:t>3(14%)</w:t>
            </w:r>
          </w:p>
        </w:tc>
        <w:tc>
          <w:tcPr>
            <w:tcW w:w="1080" w:type="dxa"/>
          </w:tcPr>
          <w:p w14:paraId="7E81141C" w14:textId="77777777" w:rsidR="00CD484C" w:rsidRDefault="00CD484C">
            <w:pPr>
              <w:jc w:val="center"/>
              <w:rPr>
                <w:sz w:val="18"/>
                <w:szCs w:val="16"/>
              </w:rPr>
            </w:pPr>
            <w:r>
              <w:rPr>
                <w:sz w:val="18"/>
                <w:szCs w:val="16"/>
              </w:rPr>
              <w:t>11(55%)</w:t>
            </w:r>
          </w:p>
        </w:tc>
        <w:tc>
          <w:tcPr>
            <w:tcW w:w="1440" w:type="dxa"/>
          </w:tcPr>
          <w:p w14:paraId="38ED81B0" w14:textId="77777777" w:rsidR="00CD484C" w:rsidRDefault="00CD484C">
            <w:pPr>
              <w:jc w:val="center"/>
              <w:rPr>
                <w:sz w:val="18"/>
                <w:szCs w:val="16"/>
              </w:rPr>
            </w:pPr>
            <w:r>
              <w:rPr>
                <w:sz w:val="18"/>
                <w:szCs w:val="16"/>
              </w:rPr>
              <w:t>20</w:t>
            </w:r>
          </w:p>
        </w:tc>
      </w:tr>
      <w:tr w:rsidR="00CD484C" w14:paraId="195B02FB" w14:textId="77777777">
        <w:trPr>
          <w:trHeight w:val="260"/>
          <w:jc w:val="center"/>
        </w:trPr>
        <w:tc>
          <w:tcPr>
            <w:tcW w:w="1110" w:type="dxa"/>
            <w:tcBorders>
              <w:left w:val="nil"/>
            </w:tcBorders>
          </w:tcPr>
          <w:p w14:paraId="15D9937C" w14:textId="77777777" w:rsidR="00CD484C" w:rsidRDefault="00CD484C">
            <w:pPr>
              <w:jc w:val="both"/>
              <w:rPr>
                <w:sz w:val="18"/>
                <w:szCs w:val="16"/>
              </w:rPr>
            </w:pPr>
            <w:r>
              <w:rPr>
                <w:sz w:val="18"/>
                <w:szCs w:val="16"/>
              </w:rPr>
              <w:t>Банбаши.</w:t>
            </w:r>
          </w:p>
        </w:tc>
        <w:tc>
          <w:tcPr>
            <w:tcW w:w="900" w:type="dxa"/>
          </w:tcPr>
          <w:p w14:paraId="56FBADE0" w14:textId="77777777" w:rsidR="00CD484C" w:rsidRDefault="00CD484C">
            <w:pPr>
              <w:jc w:val="center"/>
              <w:rPr>
                <w:sz w:val="18"/>
                <w:szCs w:val="16"/>
              </w:rPr>
            </w:pPr>
            <w:r>
              <w:rPr>
                <w:sz w:val="18"/>
                <w:szCs w:val="16"/>
              </w:rPr>
              <w:t>3(7,69)</w:t>
            </w:r>
          </w:p>
        </w:tc>
        <w:tc>
          <w:tcPr>
            <w:tcW w:w="1080" w:type="dxa"/>
          </w:tcPr>
          <w:p w14:paraId="104A3C33" w14:textId="77777777" w:rsidR="00CD484C" w:rsidRDefault="00CD484C">
            <w:pPr>
              <w:jc w:val="center"/>
              <w:rPr>
                <w:sz w:val="18"/>
                <w:szCs w:val="16"/>
              </w:rPr>
            </w:pPr>
            <w:r>
              <w:rPr>
                <w:sz w:val="18"/>
                <w:szCs w:val="16"/>
              </w:rPr>
              <w:t>10(25,64)</w:t>
            </w:r>
          </w:p>
        </w:tc>
        <w:tc>
          <w:tcPr>
            <w:tcW w:w="1080" w:type="dxa"/>
          </w:tcPr>
          <w:p w14:paraId="0AF4317E" w14:textId="77777777" w:rsidR="00CD484C" w:rsidRDefault="00CD484C">
            <w:pPr>
              <w:jc w:val="center"/>
              <w:rPr>
                <w:sz w:val="18"/>
                <w:szCs w:val="16"/>
              </w:rPr>
            </w:pPr>
            <w:r>
              <w:rPr>
                <w:sz w:val="18"/>
                <w:szCs w:val="16"/>
              </w:rPr>
              <w:t>8(20,51%)</w:t>
            </w:r>
          </w:p>
        </w:tc>
        <w:tc>
          <w:tcPr>
            <w:tcW w:w="1440" w:type="dxa"/>
          </w:tcPr>
          <w:p w14:paraId="551B74C1" w14:textId="77777777" w:rsidR="00CD484C" w:rsidRDefault="00CD484C">
            <w:pPr>
              <w:jc w:val="center"/>
              <w:rPr>
                <w:sz w:val="18"/>
                <w:szCs w:val="16"/>
              </w:rPr>
            </w:pPr>
            <w:r>
              <w:rPr>
                <w:sz w:val="18"/>
                <w:szCs w:val="16"/>
              </w:rPr>
              <w:t>39</w:t>
            </w:r>
          </w:p>
        </w:tc>
      </w:tr>
      <w:tr w:rsidR="00CD484C" w14:paraId="14A3B489" w14:textId="77777777">
        <w:trPr>
          <w:trHeight w:val="260"/>
          <w:jc w:val="center"/>
        </w:trPr>
        <w:tc>
          <w:tcPr>
            <w:tcW w:w="1110" w:type="dxa"/>
            <w:tcBorders>
              <w:left w:val="nil"/>
            </w:tcBorders>
          </w:tcPr>
          <w:p w14:paraId="538E1C1E" w14:textId="77777777" w:rsidR="00CD484C" w:rsidRDefault="00CD484C">
            <w:pPr>
              <w:jc w:val="both"/>
              <w:rPr>
                <w:sz w:val="18"/>
                <w:szCs w:val="16"/>
              </w:rPr>
            </w:pPr>
            <w:r>
              <w:rPr>
                <w:sz w:val="18"/>
                <w:szCs w:val="16"/>
              </w:rPr>
              <w:t>Яз-Кираги</w:t>
            </w:r>
          </w:p>
        </w:tc>
        <w:tc>
          <w:tcPr>
            <w:tcW w:w="900" w:type="dxa"/>
          </w:tcPr>
          <w:p w14:paraId="0DD988F0" w14:textId="77777777" w:rsidR="00CD484C" w:rsidRDefault="00CD484C">
            <w:pPr>
              <w:jc w:val="center"/>
              <w:rPr>
                <w:sz w:val="18"/>
                <w:szCs w:val="16"/>
              </w:rPr>
            </w:pPr>
            <w:r>
              <w:rPr>
                <w:sz w:val="18"/>
                <w:szCs w:val="16"/>
              </w:rPr>
              <w:t>13(10,5)</w:t>
            </w:r>
          </w:p>
        </w:tc>
        <w:tc>
          <w:tcPr>
            <w:tcW w:w="1080" w:type="dxa"/>
          </w:tcPr>
          <w:p w14:paraId="6D671116" w14:textId="77777777" w:rsidR="00CD484C" w:rsidRDefault="00CD484C">
            <w:pPr>
              <w:jc w:val="center"/>
              <w:rPr>
                <w:sz w:val="18"/>
                <w:szCs w:val="16"/>
              </w:rPr>
            </w:pPr>
            <w:r>
              <w:rPr>
                <w:sz w:val="18"/>
                <w:szCs w:val="16"/>
              </w:rPr>
              <w:t>34(27,44)</w:t>
            </w:r>
          </w:p>
        </w:tc>
        <w:tc>
          <w:tcPr>
            <w:tcW w:w="1080" w:type="dxa"/>
          </w:tcPr>
          <w:p w14:paraId="26077826" w14:textId="77777777" w:rsidR="00CD484C" w:rsidRDefault="00CD484C">
            <w:pPr>
              <w:jc w:val="center"/>
              <w:rPr>
                <w:sz w:val="18"/>
                <w:szCs w:val="16"/>
              </w:rPr>
            </w:pPr>
            <w:r>
              <w:rPr>
                <w:sz w:val="18"/>
                <w:szCs w:val="16"/>
              </w:rPr>
              <w:t>21(19,95)</w:t>
            </w:r>
          </w:p>
        </w:tc>
        <w:tc>
          <w:tcPr>
            <w:tcW w:w="1440" w:type="dxa"/>
          </w:tcPr>
          <w:p w14:paraId="079906BA" w14:textId="77777777" w:rsidR="00CD484C" w:rsidRDefault="00CD484C">
            <w:pPr>
              <w:jc w:val="center"/>
              <w:rPr>
                <w:sz w:val="18"/>
                <w:szCs w:val="16"/>
              </w:rPr>
            </w:pPr>
            <w:r>
              <w:rPr>
                <w:sz w:val="18"/>
                <w:szCs w:val="16"/>
              </w:rPr>
              <w:t>124</w:t>
            </w:r>
          </w:p>
        </w:tc>
      </w:tr>
      <w:tr w:rsidR="00CD484C" w14:paraId="4D5D489F" w14:textId="77777777">
        <w:trPr>
          <w:trHeight w:val="260"/>
          <w:jc w:val="center"/>
        </w:trPr>
        <w:tc>
          <w:tcPr>
            <w:tcW w:w="1110" w:type="dxa"/>
            <w:tcBorders>
              <w:left w:val="nil"/>
              <w:bottom w:val="single" w:sz="12" w:space="0" w:color="000000"/>
            </w:tcBorders>
          </w:tcPr>
          <w:p w14:paraId="6751B0A0" w14:textId="77777777" w:rsidR="00CD484C" w:rsidRDefault="00CD484C">
            <w:pPr>
              <w:jc w:val="both"/>
              <w:rPr>
                <w:sz w:val="18"/>
                <w:szCs w:val="16"/>
              </w:rPr>
            </w:pPr>
            <w:r>
              <w:rPr>
                <w:sz w:val="18"/>
                <w:szCs w:val="16"/>
              </w:rPr>
              <w:t>Суммарно</w:t>
            </w:r>
          </w:p>
        </w:tc>
        <w:tc>
          <w:tcPr>
            <w:tcW w:w="900" w:type="dxa"/>
            <w:tcBorders>
              <w:bottom w:val="single" w:sz="12" w:space="0" w:color="000000"/>
            </w:tcBorders>
          </w:tcPr>
          <w:p w14:paraId="43F1E78E" w14:textId="77777777" w:rsidR="00CD484C" w:rsidRDefault="00CD484C">
            <w:pPr>
              <w:jc w:val="center"/>
              <w:rPr>
                <w:sz w:val="18"/>
                <w:szCs w:val="16"/>
              </w:rPr>
            </w:pPr>
            <w:r>
              <w:rPr>
                <w:sz w:val="18"/>
                <w:szCs w:val="16"/>
              </w:rPr>
              <w:t>55(30,05)</w:t>
            </w:r>
          </w:p>
        </w:tc>
        <w:tc>
          <w:tcPr>
            <w:tcW w:w="1080" w:type="dxa"/>
            <w:tcBorders>
              <w:bottom w:val="single" w:sz="12" w:space="0" w:color="000000"/>
            </w:tcBorders>
          </w:tcPr>
          <w:p w14:paraId="324D0EF9" w14:textId="77777777" w:rsidR="00CD484C" w:rsidRDefault="00CD484C">
            <w:pPr>
              <w:jc w:val="center"/>
              <w:rPr>
                <w:sz w:val="18"/>
                <w:szCs w:val="16"/>
              </w:rPr>
            </w:pPr>
            <w:r>
              <w:rPr>
                <w:sz w:val="18"/>
                <w:szCs w:val="16"/>
              </w:rPr>
              <w:t>28(15,3)</w:t>
            </w:r>
          </w:p>
        </w:tc>
        <w:tc>
          <w:tcPr>
            <w:tcW w:w="1080" w:type="dxa"/>
            <w:tcBorders>
              <w:bottom w:val="single" w:sz="12" w:space="0" w:color="000000"/>
            </w:tcBorders>
          </w:tcPr>
          <w:p w14:paraId="51443EDF" w14:textId="77777777" w:rsidR="00CD484C" w:rsidRDefault="00CD484C">
            <w:pPr>
              <w:jc w:val="center"/>
              <w:rPr>
                <w:sz w:val="18"/>
                <w:szCs w:val="16"/>
              </w:rPr>
            </w:pPr>
            <w:r>
              <w:rPr>
                <w:sz w:val="18"/>
                <w:szCs w:val="16"/>
              </w:rPr>
              <w:t>1(0,54%)</w:t>
            </w:r>
          </w:p>
        </w:tc>
        <w:tc>
          <w:tcPr>
            <w:tcW w:w="1440" w:type="dxa"/>
            <w:tcBorders>
              <w:bottom w:val="single" w:sz="12" w:space="0" w:color="000000"/>
            </w:tcBorders>
          </w:tcPr>
          <w:p w14:paraId="422CD7BD" w14:textId="77777777" w:rsidR="00CD484C" w:rsidRDefault="00CD484C">
            <w:pPr>
              <w:jc w:val="center"/>
              <w:rPr>
                <w:sz w:val="18"/>
                <w:szCs w:val="16"/>
              </w:rPr>
            </w:pPr>
            <w:r>
              <w:rPr>
                <w:sz w:val="18"/>
                <w:szCs w:val="16"/>
              </w:rPr>
              <w:t>183</w:t>
            </w:r>
          </w:p>
        </w:tc>
      </w:tr>
    </w:tbl>
    <w:p w14:paraId="0EB7E93C" w14:textId="77777777" w:rsidR="00CD484C" w:rsidRDefault="00CD484C">
      <w:pPr>
        <w:ind w:left="397"/>
        <w:jc w:val="both"/>
        <w:rPr>
          <w:sz w:val="20"/>
          <w:szCs w:val="16"/>
        </w:rPr>
      </w:pPr>
    </w:p>
    <w:p w14:paraId="407B64BC" w14:textId="77777777" w:rsidR="00CD484C" w:rsidRDefault="00CD484C">
      <w:pPr>
        <w:numPr>
          <w:ilvl w:val="0"/>
          <w:numId w:val="1"/>
        </w:numPr>
        <w:ind w:left="0" w:firstLine="397"/>
        <w:jc w:val="both"/>
        <w:rPr>
          <w:i/>
          <w:iCs/>
          <w:sz w:val="20"/>
          <w:szCs w:val="16"/>
        </w:rPr>
      </w:pPr>
      <w:r>
        <w:rPr>
          <w:i/>
          <w:iCs/>
          <w:sz w:val="20"/>
          <w:szCs w:val="16"/>
        </w:rPr>
        <w:t>Хронология кл.Бзован должна быть смещена на 2 десятилетия в сторону удревнения.</w:t>
      </w:r>
    </w:p>
    <w:p w14:paraId="58D45424" w14:textId="77777777" w:rsidR="00CD484C" w:rsidRDefault="00CD484C">
      <w:pPr>
        <w:jc w:val="both"/>
        <w:rPr>
          <w:sz w:val="16"/>
          <w:szCs w:val="16"/>
        </w:rPr>
      </w:pPr>
    </w:p>
    <w:p w14:paraId="64ACCCBB" w14:textId="77777777" w:rsidR="00CD484C" w:rsidRDefault="00CD484C">
      <w:pPr>
        <w:ind w:firstLine="397"/>
        <w:jc w:val="both"/>
        <w:rPr>
          <w:sz w:val="20"/>
          <w:szCs w:val="16"/>
        </w:rPr>
      </w:pPr>
      <w:r>
        <w:rPr>
          <w:sz w:val="20"/>
          <w:szCs w:val="16"/>
        </w:rPr>
        <w:t>Предпримем попытку объединения трех младших  ХГ кладов в целях типологического истолкования динамики денежного обращения закавказских кладов, представленные последними аббасидская  монетами. Учитывается при этом распределения двух поздних кладов, имеющие практически паритетные соотношения в названных ХГ. /Рис. 5; табл. 3. № 2, 3/, поэтому мы объединили монеты кладов аббасидской династии в три последние ХГ, представленные в табл. 3, включая и аббасидскую составляющую клада Бзован. Последний включен с целью выяснения общей результирующей составляющей аббасидской чеканки, выпавших в кладах на периферии халифатского мира в момент ухода с политической сцены багдадских халифов в сферу теократии. Полученный, таким образом тренд, как представляется, отражает последний всплеск чеканки Аббасидов, достигший подножья Большого Кавказского хребта, последовавшего в 312–322/924–935 гг. Сделанное наблюдение позволяет утвердиться во мнении о фиксации весьма значительного стартового импульса, отложившемся в кладе Бзован.</w:t>
      </w:r>
    </w:p>
    <w:p w14:paraId="5437121A" w14:textId="22FC5185" w:rsidR="00CD484C" w:rsidRDefault="00395416">
      <w:pPr>
        <w:jc w:val="center"/>
        <w:rPr>
          <w:sz w:val="20"/>
          <w:szCs w:val="16"/>
        </w:rPr>
      </w:pPr>
      <w:r>
        <w:rPr>
          <w:noProof/>
          <w:sz w:val="20"/>
          <w:szCs w:val="16"/>
        </w:rPr>
        <w:lastRenderedPageBreak/>
        <mc:AlternateContent>
          <mc:Choice Requires="wps">
            <w:drawing>
              <wp:anchor distT="0" distB="0" distL="114300" distR="114300" simplePos="0" relativeHeight="251658752" behindDoc="0" locked="1" layoutInCell="1" allowOverlap="1" wp14:anchorId="173DD879" wp14:editId="0CE0B13E">
                <wp:simplePos x="0" y="0"/>
                <wp:positionH relativeFrom="column">
                  <wp:posOffset>0</wp:posOffset>
                </wp:positionH>
                <wp:positionV relativeFrom="paragraph">
                  <wp:posOffset>-252730</wp:posOffset>
                </wp:positionV>
                <wp:extent cx="4095750" cy="186690"/>
                <wp:effectExtent l="0" t="1905" r="3810" b="1905"/>
                <wp:wrapNone/>
                <wp:docPr id="96400584"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76816"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2521061C"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DD879" id="Text Box 217" o:spid="_x0000_s1064" type="#_x0000_t202" style="position:absolute;left:0;text-align:left;margin-left:0;margin-top:-19.9pt;width:322.5pt;height:1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z8Cbs7wEAAMIDAAAOAAAAAAAAAAAAAAAAAC4CAABkcnMvZTJv&#10;RG9jLnhtbFBLAQItABQABgAIAAAAIQCnTgMH3gAAAAgBAAAPAAAAAAAAAAAAAAAAAEkEAABkcnMv&#10;ZG93bnJldi54bWxQSwUGAAAAAAQABADzAAAAVAUAAAAA&#10;" stroked="f">
                <v:textbox inset="0,0,0,0">
                  <w:txbxContent>
                    <w:p w14:paraId="66B76816"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2521061C" w14:textId="77777777" w:rsidR="00AE2133" w:rsidRDefault="00AE2133">
                      <w:pPr>
                        <w:rPr>
                          <w:b/>
                          <w:bCs/>
                          <w:sz w:val="2"/>
                          <w:u w:val="single"/>
                        </w:rPr>
                      </w:pPr>
                    </w:p>
                  </w:txbxContent>
                </v:textbox>
                <w10:anchorlock/>
              </v:shape>
            </w:pict>
          </mc:Fallback>
        </mc:AlternateContent>
      </w:r>
      <w:r>
        <w:rPr>
          <w:noProof/>
          <w:sz w:val="20"/>
          <w:szCs w:val="16"/>
        </w:rPr>
        <w:drawing>
          <wp:inline distT="0" distB="0" distL="0" distR="0" wp14:anchorId="4018A76D" wp14:editId="5D2C0BA4">
            <wp:extent cx="4000500" cy="3303905"/>
            <wp:effectExtent l="0" t="0" r="0" b="0"/>
            <wp:docPr id="28"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FBE4610" w14:textId="77777777" w:rsidR="00CD484C" w:rsidRDefault="00CD484C">
      <w:pPr>
        <w:ind w:firstLine="397"/>
        <w:jc w:val="center"/>
        <w:rPr>
          <w:i/>
          <w:iCs/>
          <w:sz w:val="20"/>
          <w:szCs w:val="16"/>
        </w:rPr>
      </w:pPr>
    </w:p>
    <w:p w14:paraId="2192ACC1" w14:textId="77777777" w:rsidR="00CD484C" w:rsidRDefault="00CD484C">
      <w:pPr>
        <w:jc w:val="center"/>
        <w:rPr>
          <w:i/>
          <w:iCs/>
          <w:sz w:val="18"/>
          <w:szCs w:val="16"/>
        </w:rPr>
      </w:pPr>
      <w:r>
        <w:rPr>
          <w:b/>
          <w:bCs/>
          <w:i/>
          <w:iCs/>
          <w:sz w:val="18"/>
          <w:szCs w:val="16"/>
        </w:rPr>
        <w:t>Рис.5.</w:t>
      </w:r>
      <w:r>
        <w:rPr>
          <w:i/>
          <w:iCs/>
          <w:sz w:val="18"/>
          <w:szCs w:val="16"/>
        </w:rPr>
        <w:t xml:space="preserve"> Аббасидская составляющая Закавказских кладов 1-й пол. IV(Х) в. </w:t>
      </w:r>
      <w:r>
        <w:rPr>
          <w:i/>
          <w:iCs/>
          <w:sz w:val="18"/>
          <w:szCs w:val="16"/>
        </w:rPr>
        <w:br/>
        <w:t>(183 монеты).</w:t>
      </w:r>
    </w:p>
    <w:p w14:paraId="12FA32E5" w14:textId="77777777" w:rsidR="00CD484C" w:rsidRDefault="00CD484C">
      <w:pPr>
        <w:jc w:val="center"/>
        <w:rPr>
          <w:i/>
          <w:iCs/>
          <w:sz w:val="18"/>
          <w:szCs w:val="16"/>
        </w:rPr>
      </w:pPr>
      <w:r>
        <w:rPr>
          <w:i/>
          <w:iCs/>
          <w:sz w:val="18"/>
          <w:szCs w:val="16"/>
        </w:rPr>
        <w:t xml:space="preserve">На оси Y (сл.) указано количество монет – им соответствует график </w:t>
      </w:r>
      <w:r>
        <w:rPr>
          <w:i/>
          <w:iCs/>
          <w:sz w:val="18"/>
          <w:szCs w:val="16"/>
        </w:rPr>
        <w:br/>
        <w:t xml:space="preserve">в столбиках; на второй оси Y указаны процентные соотношения – </w:t>
      </w:r>
      <w:r>
        <w:rPr>
          <w:i/>
          <w:iCs/>
          <w:sz w:val="18"/>
          <w:szCs w:val="16"/>
        </w:rPr>
        <w:br/>
        <w:t>им соответствуют линии графиков. Тренд линейный.</w:t>
      </w:r>
    </w:p>
    <w:p w14:paraId="237F394F" w14:textId="77777777" w:rsidR="00CD484C" w:rsidRDefault="00CD484C">
      <w:pPr>
        <w:jc w:val="both"/>
        <w:rPr>
          <w:sz w:val="20"/>
          <w:szCs w:val="16"/>
        </w:rPr>
      </w:pPr>
    </w:p>
    <w:p w14:paraId="62C6556D" w14:textId="77777777" w:rsidR="00CD484C" w:rsidRDefault="00CD484C">
      <w:pPr>
        <w:ind w:firstLine="397"/>
        <w:jc w:val="both"/>
        <w:rPr>
          <w:sz w:val="20"/>
          <w:szCs w:val="16"/>
        </w:rPr>
      </w:pPr>
      <w:r>
        <w:rPr>
          <w:sz w:val="20"/>
          <w:szCs w:val="16"/>
        </w:rPr>
        <w:t>Мл.аббасидская группа кл.Яз-Кираги представлена всего одной монетой чекан Мосула 333 г.х., являющейся последней в аббасидской чеканки, представленной в закавказских кладах. Ее отношение ко всему аббасидскому  составу клада составляет 0,54, который мы и приплюсовали к хронологической группе ей предшествующей. В результате этого мы имеем процентные соотношения трех младших ХГ клада Яз-Кираги, – представлены а табл. 3.</w:t>
      </w:r>
    </w:p>
    <w:p w14:paraId="6DC82C9B" w14:textId="77777777" w:rsidR="00CD484C" w:rsidRDefault="00CD484C">
      <w:pPr>
        <w:ind w:firstLine="397"/>
        <w:jc w:val="both"/>
        <w:rPr>
          <w:sz w:val="20"/>
          <w:szCs w:val="16"/>
        </w:rPr>
      </w:pPr>
      <w:r>
        <w:rPr>
          <w:sz w:val="20"/>
          <w:szCs w:val="16"/>
        </w:rPr>
        <w:t xml:space="preserve">Материалы табл. 3 следует рассматривать вместе с данными диаграммы «Аббасидская составляющая закавказский кладов 1-й половины Х в.» /Рис. 4/, где с учетом хронологического смещения данной династийной группы монет клада Бзован, вызванного тем, что он старше муганских на 20 лет, фиксируется (исключая старшие монеты) два экстремума, означающие всплеск эмиссии  аббасидских монетных дворов: 1. В 283–292 гг.х. и </w:t>
      </w:r>
      <w:r>
        <w:rPr>
          <w:sz w:val="20"/>
          <w:szCs w:val="16"/>
        </w:rPr>
        <w:lastRenderedPageBreak/>
        <w:t>2. в 313–322 гг., причем, последний всплеск самый мощный, составивший более 30% всей аббасидской чеканки, отложившейся в закавказских кладах (Табл. 3; 4)</w:t>
      </w:r>
      <w:r>
        <w:rPr>
          <w:rStyle w:val="a6"/>
          <w:sz w:val="20"/>
          <w:szCs w:val="16"/>
        </w:rPr>
        <w:footnoteReference w:customMarkFollows="1" w:id="53"/>
        <w:t>6</w:t>
      </w:r>
      <w:r>
        <w:rPr>
          <w:sz w:val="20"/>
          <w:szCs w:val="16"/>
        </w:rPr>
        <w:t xml:space="preserve">. При этом принимаем во внимание, что младшая ХГ данной составляющей кл.Бзован составляя 55% данной части клада – имеет почти 4-х кратное превышение над предшествующей хроногруппой монет, что по аналогии позволяет сделать предположение о весьма быстрой смене состава денежного обращения к моменту выпадения данного депозита, характеризующее в тоже время кл. Бзован как клад моментального накопления на дату 324/935-6 г.  </w:t>
      </w:r>
    </w:p>
    <w:p w14:paraId="336439BC" w14:textId="77777777" w:rsidR="00CD484C" w:rsidRDefault="00CD484C">
      <w:pPr>
        <w:ind w:firstLine="397"/>
        <w:jc w:val="both"/>
        <w:rPr>
          <w:sz w:val="20"/>
          <w:szCs w:val="16"/>
        </w:rPr>
      </w:pPr>
      <w:r>
        <w:rPr>
          <w:sz w:val="20"/>
          <w:szCs w:val="16"/>
        </w:rPr>
        <w:t>Вернувшись к анализу данных, полученных в результате графической интерпретации аббасидской чеканки  в кладах, выпавших в Закавказье, нетрудно видеть на основе графика, обозначающего процентное соотношение к общему итоговому показателю (183 монеты), к каждой хронологической группе, что до самого мощного всплеска чеканки, приходящегося на 313–322 г.х., происходило плавное повышение объема выпуска монет халифатскими монетными дворами. В последние два десятилетия, предшествующие дате ММ азербайджанских кладов, что наглядно отражает диаграмма, процентное соотношение аббасидских монет обвально сошло на нет. Однако тот же тренд, выявленный по показателю % к итогу, определенно демонстрирует, что денежное обращение с прекращением чеканки Аббасидами дензнаков не привело уходу  монет из денежного оборота. Более того, тенденция тренда свидетельствует о повышении в хронологической перспективе роли аббасидских монет по крайне мере вперед еше на одно-два десятилетия после даты «младшей» аббасидской монеты, эмитированной в Мосуле в 333 г.х., которая отложилась в кладе Яз-Кираги.</w:t>
      </w:r>
    </w:p>
    <w:p w14:paraId="2707ABDA" w14:textId="77777777" w:rsidR="00CD484C" w:rsidRDefault="00CD484C">
      <w:pPr>
        <w:pStyle w:val="a5"/>
        <w:ind w:firstLine="397"/>
        <w:jc w:val="both"/>
        <w:rPr>
          <w:szCs w:val="16"/>
        </w:rPr>
      </w:pPr>
      <w:r>
        <w:rPr>
          <w:szCs w:val="16"/>
        </w:rPr>
        <w:t>Монетный материал, отложившийся в кладах Азербайджана, позволяет реконструировать некоторые аспекты политической истории Ближнего и Среднего Востока, и еще в полной мере не был изучен. Данные нумизматики позволяют выявить и такие, причем, весьма важные научные факты, неизвестные ученым по данным нарративных источников. В частности, о Веджихидах Омана, стало известно только благодаря большой работе Е. Цамбауэра, использовавшего Инвентарный каталог восточных монет Эрмитажа (Zambaur E., 1955. – S. 127). В кладе Яз-Кираги Е.А. Пахомов выделил дирхем Веджихидов Омана. Он выпущен Мухаммедом б. Юсуфом в 335/946 г. (Пахомов Е.А., 1966. – С. 51).</w:t>
      </w:r>
    </w:p>
    <w:p w14:paraId="6C5899C4" w14:textId="305807C7" w:rsidR="00CD484C" w:rsidRDefault="00CD484C">
      <w:pPr>
        <w:pStyle w:val="a5"/>
        <w:ind w:firstLine="397"/>
        <w:jc w:val="both"/>
        <w:rPr>
          <w:szCs w:val="16"/>
        </w:rPr>
      </w:pPr>
      <w:r>
        <w:rPr>
          <w:szCs w:val="16"/>
        </w:rPr>
        <w:t xml:space="preserve">Следует заметить, что в Х–XI вв., на фоне распада Халифата четче, чем прежде происходит разделение светских и духовных сфер жизни, выделение светской власти, пишет М.Б. Пиотровский (1987. – С. 13). Халиф </w:t>
      </w:r>
      <w:r w:rsidR="00395416">
        <w:rPr>
          <w:noProof/>
          <w:szCs w:val="16"/>
        </w:rPr>
        <mc:AlternateContent>
          <mc:Choice Requires="wps">
            <w:drawing>
              <wp:anchor distT="0" distB="0" distL="114300" distR="114300" simplePos="0" relativeHeight="251659776" behindDoc="0" locked="1" layoutInCell="1" allowOverlap="1" wp14:anchorId="3AA651C7" wp14:editId="2CE034D8">
                <wp:simplePos x="0" y="0"/>
                <wp:positionH relativeFrom="column">
                  <wp:posOffset>0</wp:posOffset>
                </wp:positionH>
                <wp:positionV relativeFrom="paragraph">
                  <wp:posOffset>-252730</wp:posOffset>
                </wp:positionV>
                <wp:extent cx="4095750" cy="186690"/>
                <wp:effectExtent l="0" t="1905" r="3810" b="1905"/>
                <wp:wrapNone/>
                <wp:docPr id="1022397545"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E8EAF"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78C4CA87"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651C7" id="Text Box 218" o:spid="_x0000_s1065" type="#_x0000_t202" style="position:absolute;left:0;text-align:left;margin-left:0;margin-top:-19.9pt;width:322.5pt;height:14.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AAoy57wEAAMIDAAAOAAAAAAAAAAAAAAAAAC4CAABkcnMvZTJv&#10;RG9jLnhtbFBLAQItABQABgAIAAAAIQCnTgMH3gAAAAgBAAAPAAAAAAAAAAAAAAAAAEkEAABkcnMv&#10;ZG93bnJldi54bWxQSwUGAAAAAAQABADzAAAAVAUAAAAA&#10;" stroked="f">
                <v:textbox inset="0,0,0,0">
                  <w:txbxContent>
                    <w:p w14:paraId="784E8EAF"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78C4CA87" w14:textId="77777777" w:rsidR="00AE2133" w:rsidRDefault="00AE2133">
                      <w:pPr>
                        <w:rPr>
                          <w:b/>
                          <w:bCs/>
                          <w:sz w:val="2"/>
                          <w:u w:val="single"/>
                        </w:rPr>
                      </w:pPr>
                    </w:p>
                  </w:txbxContent>
                </v:textbox>
                <w10:anchorlock/>
              </v:shape>
            </w:pict>
          </mc:Fallback>
        </mc:AlternateContent>
      </w:r>
      <w:r>
        <w:rPr>
          <w:szCs w:val="16"/>
        </w:rPr>
        <w:t xml:space="preserve">в Багдаде в X–XI вв. теряет значительную часть светской политической власти, </w:t>
      </w:r>
      <w:r>
        <w:rPr>
          <w:szCs w:val="16"/>
        </w:rPr>
        <w:lastRenderedPageBreak/>
        <w:t>ее как бы перенимают у него султаны, сначала Буиды, а потом Сельджукские. На разных уровнях расцветает институт султанов – полновластных светских правителей, заключает исследователь (Пиотровский М.Б., 1987. – С. 13).</w:t>
      </w:r>
    </w:p>
    <w:p w14:paraId="1E0FF0A9" w14:textId="77777777" w:rsidR="00CD484C" w:rsidRDefault="00CD484C">
      <w:pPr>
        <w:tabs>
          <w:tab w:val="left" w:pos="567"/>
          <w:tab w:val="left" w:pos="2268"/>
          <w:tab w:val="left" w:pos="2694"/>
        </w:tabs>
        <w:ind w:firstLine="397"/>
        <w:jc w:val="both"/>
        <w:rPr>
          <w:sz w:val="20"/>
          <w:szCs w:val="16"/>
        </w:rPr>
      </w:pPr>
      <w:r>
        <w:rPr>
          <w:sz w:val="20"/>
          <w:szCs w:val="16"/>
        </w:rPr>
        <w:t>В истории Арабского халифата Х в., как известно, характеризовался сменой власти багдадских халифов на династии, родиной которых были прикаспийские горы Горгана и Дайлема, что позволило В.Ф. Минорскому назвать данный процесс как «дейлеметская интерлюдия» (Босворт К.Э, 1971. – С. 138)</w:t>
      </w:r>
      <w:r>
        <w:rPr>
          <w:rStyle w:val="a6"/>
          <w:sz w:val="20"/>
          <w:szCs w:val="16"/>
        </w:rPr>
        <w:footnoteReference w:customMarkFollows="1" w:id="54"/>
        <w:t>7</w:t>
      </w:r>
      <w:r>
        <w:rPr>
          <w:sz w:val="20"/>
          <w:szCs w:val="16"/>
        </w:rPr>
        <w:t>. Основатели крупнейшей ближневосточной династии Буиды (Бувейхиды) получили известность, находясь на службе также у дейлемитской династии Зияридов. Но, быстро отстранив оных – оставив им только горы Табаристана – три брата Абул-Хасан-Али, Абул-а-ли ал-Хасан и Абул-Хасан Ахмад в 320–324 гг. стремительно захватили весь Западный Иран</w:t>
      </w:r>
      <w:r>
        <w:rPr>
          <w:rStyle w:val="a6"/>
          <w:sz w:val="20"/>
          <w:szCs w:val="16"/>
        </w:rPr>
        <w:footnoteReference w:customMarkFollows="1" w:id="55"/>
        <w:t>8</w:t>
      </w:r>
      <w:r>
        <w:rPr>
          <w:sz w:val="20"/>
          <w:szCs w:val="16"/>
        </w:rPr>
        <w:t xml:space="preserve">. Материалы кладов Азербайджана показывают нам монеты битые от имени Али Бувейха с 324 г.х. (старшего из братьев), чеканка который начал осуществляться, на что следует обратить внимание, в Юго-Западной провинции Фарс – г. Ширазе  (Пахомов Е.А., 1966. – С. 52–53). </w:t>
      </w:r>
    </w:p>
    <w:p w14:paraId="649051FE" w14:textId="77777777" w:rsidR="00CD484C" w:rsidRDefault="00CD484C">
      <w:pPr>
        <w:tabs>
          <w:tab w:val="left" w:pos="567"/>
          <w:tab w:val="left" w:pos="2268"/>
          <w:tab w:val="left" w:pos="2694"/>
        </w:tabs>
        <w:ind w:firstLine="397"/>
        <w:jc w:val="both"/>
        <w:rPr>
          <w:sz w:val="20"/>
          <w:szCs w:val="16"/>
        </w:rPr>
      </w:pPr>
      <w:r>
        <w:rPr>
          <w:sz w:val="20"/>
          <w:szCs w:val="16"/>
        </w:rPr>
        <w:t>География чеканки ранних Бувейхидов позволяет общих чертах наметить постепенное расширение влияния, не доходившая, однако, до Севаеро-Западного Ирана. На момент выпадения кладов Муганской равнины основной базой рассматриваемой династии служили южноиранские и ижно-иракские города Басра – Ахваз – Арраджин – Шираз</w:t>
      </w:r>
      <w:r>
        <w:rPr>
          <w:rStyle w:val="a6"/>
          <w:sz w:val="20"/>
          <w:szCs w:val="16"/>
        </w:rPr>
        <w:footnoteReference w:customMarkFollows="1" w:id="56"/>
        <w:t>9</w:t>
      </w:r>
      <w:r>
        <w:rPr>
          <w:sz w:val="20"/>
          <w:szCs w:val="16"/>
        </w:rPr>
        <w:t>.</w:t>
      </w:r>
    </w:p>
    <w:p w14:paraId="0FA66BDF" w14:textId="77777777" w:rsidR="00CD484C" w:rsidRDefault="00CD484C">
      <w:pPr>
        <w:ind w:firstLine="397"/>
        <w:jc w:val="both"/>
        <w:rPr>
          <w:sz w:val="20"/>
          <w:szCs w:val="16"/>
        </w:rPr>
      </w:pPr>
      <w:r>
        <w:rPr>
          <w:sz w:val="20"/>
          <w:szCs w:val="16"/>
        </w:rPr>
        <w:t>Ал-Масуди сообщает о более раннем выступлении дайламитов, чем имеющийся монетный материал, что позволяет с нумизматическими данными прояснить факт начала буидских эмиров, прямо скажем, в противоположной от исконной родины дайламитов на берегу Персидского залива. В 317/929-930 гг. дайламеты захватили центральные города Ирана и тогда ал-Муктадир обратился к Насру б.Ахмеду (914–933), уже владевшему Хорасаном, который быстро очистил от дайламетов и занял города Табаристана, Рей, Джурджан, Казвин, Занджан, Абхар, Кум, Хамадан и ал-Карадж (Микульский Д.В., 2002. – С. 556–557).</w:t>
      </w:r>
    </w:p>
    <w:p w14:paraId="7E850161" w14:textId="77777777" w:rsidR="00CD484C" w:rsidRDefault="00CD484C">
      <w:pPr>
        <w:ind w:firstLine="397"/>
        <w:jc w:val="both"/>
        <w:rPr>
          <w:spacing w:val="-4"/>
          <w:sz w:val="20"/>
          <w:szCs w:val="16"/>
        </w:rPr>
      </w:pPr>
      <w:r>
        <w:rPr>
          <w:spacing w:val="-4"/>
          <w:sz w:val="20"/>
          <w:szCs w:val="16"/>
        </w:rPr>
        <w:t>Саманиды, пишут С. Франклин и Дж. Шепард, проводили политику, направленную на регулирование торговли, направив, например, в 910 г. в Багдад множество мехов, включая соболей (Franklin S., Shepard J., 1998. – Р.</w:t>
      </w:r>
      <w:r>
        <w:rPr>
          <w:spacing w:val="-4"/>
        </w:rPr>
        <w:t> </w:t>
      </w:r>
      <w:r>
        <w:rPr>
          <w:spacing w:val="-4"/>
          <w:sz w:val="20"/>
          <w:szCs w:val="16"/>
        </w:rPr>
        <w:t xml:space="preserve">64). </w:t>
      </w:r>
    </w:p>
    <w:p w14:paraId="4F92EF5B" w14:textId="77777777" w:rsidR="00CD484C" w:rsidRDefault="00CD484C">
      <w:pPr>
        <w:ind w:firstLine="397"/>
        <w:jc w:val="both"/>
        <w:rPr>
          <w:sz w:val="20"/>
          <w:szCs w:val="16"/>
        </w:rPr>
      </w:pPr>
      <w:r>
        <w:rPr>
          <w:sz w:val="20"/>
          <w:szCs w:val="16"/>
        </w:rPr>
        <w:lastRenderedPageBreak/>
        <w:t>Есть, вероятно, смысл предположить, что халиф ал-Муктадир отправил посольство под руководством С(а)усана ар-Раси</w:t>
      </w:r>
      <w:r>
        <w:rPr>
          <w:rStyle w:val="a6"/>
          <w:sz w:val="20"/>
          <w:szCs w:val="16"/>
        </w:rPr>
        <w:footnoteReference w:customMarkFollows="1" w:id="57"/>
        <w:t>10</w:t>
      </w:r>
      <w:r>
        <w:rPr>
          <w:sz w:val="20"/>
          <w:szCs w:val="16"/>
        </w:rPr>
        <w:t xml:space="preserve"> в Европу до начала далейметской интерлюдии, используя исключительно доверительные отношения с Саманидами.</w:t>
      </w:r>
    </w:p>
    <w:p w14:paraId="52F55F7B" w14:textId="77777777" w:rsidR="00CD484C" w:rsidRDefault="00CD484C">
      <w:pPr>
        <w:ind w:firstLine="397"/>
        <w:jc w:val="both"/>
        <w:rPr>
          <w:sz w:val="20"/>
          <w:szCs w:val="16"/>
        </w:rPr>
      </w:pPr>
      <w:r>
        <w:rPr>
          <w:sz w:val="20"/>
          <w:szCs w:val="16"/>
        </w:rPr>
        <w:t xml:space="preserve">Материалы гигантского клада Муром 1868 г., в котором подинастийно может быть распределено до 9000 монет, бувейхидских немного – всего 36 экз. Однако они показывают, что первый чекан Буидов состоялся в Тустер мин ал-Ахвазе, расположенные в иранской провинции Хузистан на берегу Персидского залива: 1) Шираз аббасидских дирхемов 2 экз. 320 г.х.; (РА ИИМК. Ф.1, 1868. № 43, л.18, № 71, л.22); 2) Тустер мин аль-Ахваз 320 г.х. буидский дирхем (Там же, л.20, № 1902); 3) Бувейхидские 3 экз. Шираз 323 г.х. (Там же, л.20, №1904–1905; л. 21 об., № 479). </w:t>
      </w:r>
    </w:p>
    <w:p w14:paraId="2A5CE154" w14:textId="77777777" w:rsidR="00CD484C" w:rsidRDefault="00CD484C">
      <w:pPr>
        <w:ind w:firstLine="397"/>
        <w:jc w:val="both"/>
        <w:rPr>
          <w:sz w:val="20"/>
          <w:szCs w:val="16"/>
        </w:rPr>
      </w:pPr>
      <w:r>
        <w:rPr>
          <w:sz w:val="20"/>
          <w:szCs w:val="16"/>
        </w:rPr>
        <w:t>Таким образом, Саманидам понадобилось 2–3 года, чтобы вытеснить Буидов из Центрального Ирана.</w:t>
      </w:r>
    </w:p>
    <w:p w14:paraId="483D1FB8" w14:textId="495AAE78" w:rsidR="00CD484C" w:rsidRDefault="00CD484C">
      <w:pPr>
        <w:ind w:firstLine="397"/>
        <w:jc w:val="both"/>
        <w:rPr>
          <w:sz w:val="20"/>
          <w:szCs w:val="16"/>
        </w:rPr>
      </w:pPr>
      <w:r>
        <w:rPr>
          <w:sz w:val="20"/>
          <w:szCs w:val="16"/>
        </w:rPr>
        <w:t>В свое борьбе с политическими противниками-дейлеметами халифы опирались на крупнейшую на Среднем Востоке Саманидскую державу (875–999), лидеры которой признавая духовную власть багдадских халифов, громя систанскую династию Саффаридов, сумевшие в 280/893–4 г. занять тахиридский Нишапур (Микульский Д.В., 2002. – С. 438–439), успешно продвигались на запад. В рассматриваемых кладах саффаридская монета является случайной примесью</w:t>
      </w:r>
      <w:r>
        <w:rPr>
          <w:rStyle w:val="a6"/>
          <w:sz w:val="20"/>
          <w:szCs w:val="16"/>
        </w:rPr>
        <w:footnoteReference w:customMarkFollows="1" w:id="58"/>
        <w:t>11</w:t>
      </w:r>
      <w:r>
        <w:rPr>
          <w:sz w:val="20"/>
          <w:szCs w:val="16"/>
        </w:rPr>
        <w:t>, а монет Тахиридов (821–873) вообще нет. что позволяет предположить, что дирхемы данной династии уходили в Европу исключительно сухопутным путем</w:t>
      </w:r>
      <w:r>
        <w:rPr>
          <w:rStyle w:val="a6"/>
          <w:sz w:val="20"/>
          <w:szCs w:val="16"/>
        </w:rPr>
        <w:footnoteReference w:customMarkFollows="1" w:id="59"/>
        <w:t>12</w:t>
      </w:r>
      <w:r>
        <w:rPr>
          <w:sz w:val="20"/>
          <w:szCs w:val="16"/>
        </w:rPr>
        <w:t xml:space="preserve">. Территориальные притязания Саффаридов были связаны со стремлением установления власти в Хорасане, Фарсе и Индии. По данным Х.К. Верма, в рассматриваемый период индийская торговля была основана в большей мере с Хорасаном, Тохаристаном и Маверанахром, тогда как с Оманом существовала морская торговля (Verma H.K., 1978. – Р. 236–239). ал-Масуди  сообщает о том, как в 283/896–7 г. саффарид ‘Амри б. ал-Лайс ас-Сафар прислал подарки халифу Мутаввакилю, среди которых был медный идол, захваченный им в результате одного из походов в Индии, а также 45 тыс. дирхемов </w:t>
      </w:r>
      <w:r w:rsidR="00395416">
        <w:rPr>
          <w:noProof/>
          <w:sz w:val="20"/>
          <w:szCs w:val="16"/>
        </w:rPr>
        <mc:AlternateContent>
          <mc:Choice Requires="wps">
            <w:drawing>
              <wp:anchor distT="0" distB="0" distL="114300" distR="114300" simplePos="0" relativeHeight="251660800" behindDoc="0" locked="1" layoutInCell="1" allowOverlap="1" wp14:anchorId="199C257F" wp14:editId="591302AE">
                <wp:simplePos x="0" y="0"/>
                <wp:positionH relativeFrom="column">
                  <wp:posOffset>0</wp:posOffset>
                </wp:positionH>
                <wp:positionV relativeFrom="paragraph">
                  <wp:posOffset>-252730</wp:posOffset>
                </wp:positionV>
                <wp:extent cx="4095750" cy="186690"/>
                <wp:effectExtent l="0" t="0" r="2540" b="3810"/>
                <wp:wrapNone/>
                <wp:docPr id="181210979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C86B8"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10C91E0F"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C257F" id="Text Box 219" o:spid="_x0000_s1066" type="#_x0000_t202" style="position:absolute;left:0;text-align:left;margin-left:0;margin-top:-19.9pt;width:322.5pt;height:1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yFJ7g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" stroked="f">
                <v:textbox inset="0,0,0,0">
                  <w:txbxContent>
                    <w:p w14:paraId="36FC86B8"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10C91E0F" w14:textId="77777777" w:rsidR="00AE2133" w:rsidRDefault="00AE2133">
                      <w:pPr>
                        <w:rPr>
                          <w:b/>
                          <w:bCs/>
                          <w:sz w:val="2"/>
                          <w:u w:val="single"/>
                        </w:rPr>
                      </w:pPr>
                    </w:p>
                  </w:txbxContent>
                </v:textbox>
                <w10:anchorlock/>
              </v:shape>
            </w:pict>
          </mc:Fallback>
        </mc:AlternateContent>
      </w:r>
      <w:r>
        <w:rPr>
          <w:sz w:val="20"/>
          <w:szCs w:val="16"/>
        </w:rPr>
        <w:t xml:space="preserve">(Ал-Масуди. Цит по: Микульский Д.В., 2002. – С. 431). Сведения ал-Масуди позволяют утверждать, что саффаридские дирхемы обращались на рынке Багдада, поступив сюда неторговым путем. </w:t>
      </w:r>
    </w:p>
    <w:p w14:paraId="6BF6A544" w14:textId="77777777" w:rsidR="00CD484C" w:rsidRDefault="00CD484C">
      <w:pPr>
        <w:ind w:firstLine="397"/>
        <w:jc w:val="both"/>
        <w:rPr>
          <w:sz w:val="20"/>
          <w:szCs w:val="16"/>
        </w:rPr>
      </w:pPr>
      <w:r>
        <w:rPr>
          <w:sz w:val="20"/>
          <w:szCs w:val="16"/>
        </w:rPr>
        <w:lastRenderedPageBreak/>
        <w:t>В результате борьбы двух крупнейших династий на Среднем Востоке, Иран был поделен между Буидами и Саманидами, при этом они учитывали локальные династии в качестве своих сателлитов (Spuler B., 1952. – S. 81–83).</w:t>
      </w:r>
    </w:p>
    <w:p w14:paraId="702F1038" w14:textId="77777777" w:rsidR="00CD484C" w:rsidRDefault="00CD484C">
      <w:pPr>
        <w:ind w:firstLine="397"/>
        <w:jc w:val="both"/>
        <w:rPr>
          <w:spacing w:val="2"/>
          <w:sz w:val="20"/>
          <w:szCs w:val="16"/>
        </w:rPr>
      </w:pPr>
      <w:r>
        <w:rPr>
          <w:spacing w:val="2"/>
          <w:sz w:val="20"/>
          <w:szCs w:val="16"/>
        </w:rPr>
        <w:t>Отвлекаясь от изложения, приведем клад из Готланда 1844 г. (Марков А.К., 1910. – С. 82. – № 185),</w:t>
      </w:r>
      <w:r>
        <w:rPr>
          <w:b/>
          <w:spacing w:val="2"/>
          <w:sz w:val="20"/>
          <w:szCs w:val="16"/>
        </w:rPr>
        <w:t xml:space="preserve"> </w:t>
      </w:r>
      <w:r>
        <w:rPr>
          <w:spacing w:val="2"/>
          <w:sz w:val="20"/>
          <w:szCs w:val="16"/>
        </w:rPr>
        <w:t>где куфическая часть при дате ММ 1006 г. для интересующего нас периода имеет сочетание в династийном составе как-то:</w:t>
      </w:r>
      <w:r>
        <w:rPr>
          <w:b/>
          <w:spacing w:val="2"/>
          <w:sz w:val="20"/>
          <w:szCs w:val="16"/>
        </w:rPr>
        <w:t xml:space="preserve"> </w:t>
      </w:r>
      <w:r>
        <w:rPr>
          <w:bCs/>
          <w:spacing w:val="2"/>
          <w:sz w:val="20"/>
          <w:szCs w:val="16"/>
        </w:rPr>
        <w:t>А</w:t>
      </w:r>
      <w:r>
        <w:rPr>
          <w:spacing w:val="2"/>
          <w:sz w:val="20"/>
          <w:szCs w:val="16"/>
        </w:rPr>
        <w:t>ббасидов 156–334 (772–945) гг., Тахиридов, Бувейгидов, Хамданидов, эмиров Булгара 338 (949–50) г.х, Саманидов 280-360(893–970) г.г., 1 монета Веджихидов Омана 326 (937–8) г., 1 – эмиров эль-Умера 333 (944) г., помимо Илекских, позволяют предполагать и наличии монетного потока через Дербент в середине Х в. и, по-видимому, в Европе их догоняли булгарские монеты вместе с тахиродо-самандиским потоком. Готландский клад 1844 г., так как и клад Яз-Кираги позволяют увидеть как раз те «неповторимые сочетания династий», о которых говорил В.Л. Янин.</w:t>
      </w:r>
    </w:p>
    <w:p w14:paraId="588E318C" w14:textId="77777777" w:rsidR="00CD484C" w:rsidRDefault="00CD484C">
      <w:pPr>
        <w:ind w:firstLine="397"/>
        <w:jc w:val="both"/>
        <w:rPr>
          <w:sz w:val="20"/>
          <w:szCs w:val="16"/>
        </w:rPr>
      </w:pPr>
      <w:r>
        <w:rPr>
          <w:sz w:val="20"/>
          <w:szCs w:val="16"/>
        </w:rPr>
        <w:t>По данным закавказских кладов, прежде всего, Яз-Кираги 1958 г. из 30 дирхемов саманидской чеканки (исключая чекан Андераба) 16, т.е. абсолютное большинство представлено самаркандским монетным двором, тогда как монетный двор аш-Шаш представлен эпизодически всего 6 дирхемами начиная с 319 и 320 г.х., а суммарно соотношение монет аш-Шаш – Самарканд по данным эмиссионного распределения кладов Яз-Кираги  и Банбаши с момента стабильного появления самаркандской монеты в Закавказье, т.е. с 313 г.х. и до даты ММ 342/952–953 гг. соотносится как  0,375</w:t>
      </w:r>
      <w:r>
        <w:rPr>
          <w:rStyle w:val="a6"/>
          <w:sz w:val="20"/>
          <w:szCs w:val="16"/>
        </w:rPr>
        <w:footnoteReference w:customMarkFollows="1" w:id="60"/>
        <w:t>13</w:t>
      </w:r>
      <w:r>
        <w:rPr>
          <w:sz w:val="20"/>
          <w:szCs w:val="16"/>
        </w:rPr>
        <w:t>.</w:t>
      </w:r>
    </w:p>
    <w:p w14:paraId="620FB5C7" w14:textId="77777777" w:rsidR="00CD484C" w:rsidRDefault="00CD484C">
      <w:pPr>
        <w:tabs>
          <w:tab w:val="left" w:pos="567"/>
          <w:tab w:val="left" w:pos="2268"/>
          <w:tab w:val="left" w:pos="2694"/>
        </w:tabs>
        <w:ind w:firstLine="397"/>
        <w:jc w:val="both"/>
        <w:rPr>
          <w:sz w:val="20"/>
          <w:szCs w:val="16"/>
        </w:rPr>
      </w:pPr>
      <w:r>
        <w:rPr>
          <w:sz w:val="20"/>
          <w:szCs w:val="16"/>
        </w:rPr>
        <w:t>Самый западный пункт, где Саманиды получили право на чеканку, был г.ал-Мухамедия (совр.Рей. близ Тегерана), что разрывало фронт наступления первых Бувейхидов, поскольку в азербайджанских кладах и, прежде всего, в более консервативном по составу кладе Банбаши из трех определяемых саманидских монет две (кроме самаркандской) выпущены в ал-Мухамадии: 324 и 333 г.х., тогда как в быстро обновляемом по сравнению с Банбаши кладом – кл. Яз-Кираги самандские монеты как уже отмечалось из числа новейших лишь немногим уступают дирхемам главному противнику халифов Бувейхидам. В кл.Яз-Кираги только одна монета, выпущенная в ал-Мухамадии, тогда  все остальные Маверанахре (при ММ – Нисабуре) (Пахомов Е.А., 1966. – С. 36; 57–59). Это подтверждает далеко не устаревшую историографии истории Ирана первой полвины Х в., одним из достижений которой является положение, согласно которому весь Иран был поделен Саманидами и Бувейхидами на две части (История Ирана., 1958. – С. 130; Фрай Р., 1972. – С. 341; История Востока, 1999. – С. 223–</w:t>
      </w:r>
      <w:r>
        <w:rPr>
          <w:sz w:val="20"/>
          <w:szCs w:val="16"/>
        </w:rPr>
        <w:lastRenderedPageBreak/>
        <w:t>225). Обращает на себя внимание монета, эмитированная в Бухаре от имени халифа ал-Кахира</w:t>
      </w:r>
      <w:r>
        <w:rPr>
          <w:rStyle w:val="a6"/>
          <w:sz w:val="20"/>
          <w:szCs w:val="16"/>
        </w:rPr>
        <w:footnoteReference w:customMarkFollows="1" w:id="61"/>
        <w:t>14</w:t>
      </w:r>
      <w:r>
        <w:rPr>
          <w:sz w:val="20"/>
          <w:szCs w:val="16"/>
        </w:rPr>
        <w:t xml:space="preserve"> в 321/932 г. при увеличенной весовой норме 5,45 г (Пахомов Е.А., 1966. – С. 47), использовавшейся в качестве подвески, служила скорее именной медалью, чем дензнаком</w:t>
      </w:r>
      <w:r>
        <w:rPr>
          <w:rStyle w:val="a6"/>
          <w:sz w:val="20"/>
          <w:szCs w:val="16"/>
        </w:rPr>
        <w:footnoteReference w:customMarkFollows="1" w:id="62"/>
        <w:t>15</w:t>
      </w:r>
      <w:r>
        <w:rPr>
          <w:sz w:val="20"/>
          <w:szCs w:val="16"/>
        </w:rPr>
        <w:t>.</w:t>
      </w:r>
    </w:p>
    <w:p w14:paraId="0FBD7F0B" w14:textId="77777777" w:rsidR="00CD484C" w:rsidRDefault="00CD484C">
      <w:pPr>
        <w:ind w:firstLine="397"/>
        <w:jc w:val="both"/>
        <w:rPr>
          <w:sz w:val="20"/>
          <w:szCs w:val="16"/>
        </w:rPr>
      </w:pPr>
      <w:r>
        <w:rPr>
          <w:sz w:val="20"/>
          <w:szCs w:val="16"/>
        </w:rPr>
        <w:t xml:space="preserve">Нумизматике хорошо известна традиция использовать монеты в качестве украшений, когда к ним припаивались ушки или делали отверстия с целью нанизывания на нить. Подобным образом монеты выводились из обращения и использовались в качестве украшений. По наблюдениям В.Л. Янина в Гнездовском кладе 1868 г. находилось «...20 монет-подвесок (!), относящиеся к VI, VIII и Х–XI вв.» (Янин В.Л., 1956. – С. 62). </w:t>
      </w:r>
    </w:p>
    <w:p w14:paraId="73BF841D" w14:textId="77777777" w:rsidR="00CD484C" w:rsidRDefault="00CD484C">
      <w:pPr>
        <w:tabs>
          <w:tab w:val="left" w:pos="567"/>
          <w:tab w:val="left" w:pos="2268"/>
          <w:tab w:val="left" w:pos="2694"/>
        </w:tabs>
        <w:ind w:firstLine="397"/>
        <w:jc w:val="both"/>
        <w:rPr>
          <w:sz w:val="20"/>
          <w:szCs w:val="16"/>
        </w:rPr>
      </w:pPr>
      <w:r>
        <w:rPr>
          <w:sz w:val="20"/>
          <w:szCs w:val="16"/>
        </w:rPr>
        <w:t>Материалов кладов Бзован, Банбаши, и Яз-Кираги демонстрирует обратный перевод средств из сферы накопления в сферу обращения, когда на ряде монет Е.А. Пахомовым, тщательно фиксировавшим все нюансы публикуемых им кладов, отмечены, (прежде всего в кладах Бзован и Банбаши) следы ушек, а также пробитые.</w:t>
      </w:r>
      <w:r>
        <w:rPr>
          <w:sz w:val="20"/>
          <w:szCs w:val="16"/>
        </w:rPr>
        <w:tab/>
      </w:r>
    </w:p>
    <w:p w14:paraId="153C3271" w14:textId="28F3B514" w:rsidR="00CD484C" w:rsidRDefault="00CD484C">
      <w:pPr>
        <w:tabs>
          <w:tab w:val="left" w:pos="567"/>
          <w:tab w:val="left" w:pos="2268"/>
          <w:tab w:val="left" w:pos="2694"/>
        </w:tabs>
        <w:ind w:firstLine="397"/>
        <w:jc w:val="both"/>
        <w:rPr>
          <w:spacing w:val="2"/>
          <w:sz w:val="20"/>
          <w:szCs w:val="16"/>
        </w:rPr>
      </w:pPr>
      <w:r>
        <w:rPr>
          <w:spacing w:val="2"/>
          <w:sz w:val="20"/>
          <w:szCs w:val="16"/>
        </w:rPr>
        <w:t>«Меченные» монеты, изучение которых на аналогичном материале еще предстоит продолжить, уже предпринималось в отечественной нумизматике, в частности А.В. Фоминым (1996. – С. 183–203). Их можно разделить на три группы: монеты с ушками; пробитые и монеты имеющие помимо отверстий, также и ушки</w:t>
      </w:r>
      <w:r>
        <w:rPr>
          <w:rStyle w:val="a6"/>
          <w:spacing w:val="2"/>
          <w:sz w:val="20"/>
          <w:szCs w:val="16"/>
        </w:rPr>
        <w:footnoteReference w:customMarkFollows="1" w:id="63"/>
        <w:t>16</w:t>
      </w:r>
      <w:r>
        <w:rPr>
          <w:spacing w:val="2"/>
          <w:sz w:val="20"/>
          <w:szCs w:val="16"/>
        </w:rPr>
        <w:t xml:space="preserve">. Дирхемы выводились из обращения невзирая на их географию чеканки. Монет с ушками в кл. Бзован не зафиксировано, в кладах Банбаши и Яз-Кираги ушки отмечены на монетах, как самых старших (171 г.х.), так и на относительно новых бувейхидской, саманидской эмиссий, а кроме того и андерабской чеканки. Последняя представлена 2 дирхемами 304/916 г., выпавшими в составе кладов кл. Банбаши и Яз-Кираги, тогда как «младшей» монетой 1-й </w:t>
      </w:r>
      <w:r w:rsidR="00395416">
        <w:rPr>
          <w:noProof/>
          <w:spacing w:val="2"/>
          <w:sz w:val="20"/>
          <w:szCs w:val="16"/>
        </w:rPr>
        <mc:AlternateContent>
          <mc:Choice Requires="wps">
            <w:drawing>
              <wp:anchor distT="0" distB="0" distL="114300" distR="114300" simplePos="0" relativeHeight="251704832" behindDoc="0" locked="1" layoutInCell="1" allowOverlap="1" wp14:anchorId="165749B0" wp14:editId="33E31043">
                <wp:simplePos x="0" y="0"/>
                <wp:positionH relativeFrom="column">
                  <wp:posOffset>0</wp:posOffset>
                </wp:positionH>
                <wp:positionV relativeFrom="paragraph">
                  <wp:posOffset>-252730</wp:posOffset>
                </wp:positionV>
                <wp:extent cx="4095750" cy="186690"/>
                <wp:effectExtent l="0" t="0" r="2540" b="0"/>
                <wp:wrapNone/>
                <wp:docPr id="709784077"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DDC77"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305FABDB"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749B0" id="Text Box 273" o:spid="_x0000_s1067" type="#_x0000_t202" style="position:absolute;left:0;text-align:left;margin-left:0;margin-top:-19.9pt;width:322.5pt;height:14.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sc7g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" stroked="f">
                <v:textbox inset="0,0,0,0">
                  <w:txbxContent>
                    <w:p w14:paraId="4EDDDC77"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305FABDB" w14:textId="77777777" w:rsidR="00AE2133" w:rsidRDefault="00AE2133">
                      <w:pPr>
                        <w:rPr>
                          <w:b/>
                          <w:bCs/>
                          <w:sz w:val="2"/>
                          <w:u w:val="single"/>
                        </w:rPr>
                      </w:pPr>
                    </w:p>
                  </w:txbxContent>
                </v:textbox>
                <w10:anchorlock/>
              </v:shape>
            </w:pict>
          </mc:Fallback>
        </mc:AlternateContent>
      </w:r>
      <w:r>
        <w:rPr>
          <w:spacing w:val="2"/>
          <w:sz w:val="20"/>
          <w:szCs w:val="16"/>
        </w:rPr>
        <w:t xml:space="preserve">группы, отложившейся в кл.Яз-Кираги, является Нисабурский дирхем 322/333–334 г. Он же имеет и отверстие, что делает его также «младшим» в третьей группе «меченных» монет. В то же время младшая монета с отверстием клада Яз-Кираги представлен дирхемом Арраджана 334 г.х., тогда как </w:t>
      </w:r>
      <w:r>
        <w:rPr>
          <w:spacing w:val="2"/>
          <w:sz w:val="20"/>
          <w:szCs w:val="16"/>
        </w:rPr>
        <w:lastRenderedPageBreak/>
        <w:t>монеты маверанахрской чеканки были пробиты не позднее 327 г.х. Наличие только одной пробитой монеты клада Бзован  (Пахомов Е.А., 1966. – С. 33, № 15) и их многочисленность в других кладах подтверждает разные источники поступления средств в депозиты и характер денежного обращения. Добавим, что старшая монета, имеющая как ушко, так и отверстие представлена дирхемом эмиссии Мадинат-ас-Салам 192 г.х, отложившаяся в кл.Банбаши. По-видимому, наличие «меченных» дензнаков, свидетельствует о выводе их из состава денежного обращения местным населением, т.е. использование монеты в качестве подвесок говорит об отложенным спросе на деньги. Об этом уже говорилось в литературе. В частности, И.Г. Спасский писал, что превращение монеты в украшение не лишали ее потенциально-платежного значения (Спасский И.Г., 1971. – С. 42). /Рис. 5/.</w:t>
      </w:r>
    </w:p>
    <w:p w14:paraId="4167CDBA" w14:textId="77777777" w:rsidR="00CD484C" w:rsidRDefault="00CD484C">
      <w:pPr>
        <w:tabs>
          <w:tab w:val="left" w:pos="567"/>
          <w:tab w:val="left" w:pos="2268"/>
          <w:tab w:val="left" w:pos="2694"/>
        </w:tabs>
        <w:ind w:firstLine="397"/>
        <w:jc w:val="both"/>
        <w:rPr>
          <w:sz w:val="20"/>
          <w:szCs w:val="16"/>
        </w:rPr>
      </w:pPr>
    </w:p>
    <w:p w14:paraId="464C26A5" w14:textId="77777777" w:rsidR="00CD484C" w:rsidRDefault="00CD484C">
      <w:pPr>
        <w:jc w:val="center"/>
        <w:rPr>
          <w:sz w:val="20"/>
          <w:szCs w:val="16"/>
        </w:rPr>
      </w:pPr>
      <w:r>
        <w:rPr>
          <w:sz w:val="20"/>
          <w:szCs w:val="16"/>
        </w:rPr>
        <w:object w:dxaOrig="2505" w:dyaOrig="3300" w14:anchorId="0CDBD02D">
          <v:shape id="_x0000_i1029" type="#_x0000_t75" style="width:129.4pt;height:170.25pt" o:ole="" o:bordertopcolor="this" o:borderleftcolor="this" o:borderbottomcolor="this" o:borderrightcolor="this">
            <v:imagedata r:id="rId44" o:title="" cropbottom="2754f" cropright="3100f" gain="53740f" blacklevel="3932f"/>
            <w10:bordertop type="single" width="4"/>
            <w10:borderleft type="single" width="4"/>
            <w10:borderbottom type="single" width="4"/>
            <w10:borderright type="single" width="4"/>
          </v:shape>
          <o:OLEObject Type="Embed" ProgID="PBrush" ShapeID="_x0000_i1029" DrawAspect="Content" ObjectID="_1816884169" r:id="rId45"/>
        </w:object>
      </w:r>
    </w:p>
    <w:p w14:paraId="72736C1E" w14:textId="77777777" w:rsidR="00CD484C" w:rsidRDefault="00CD484C">
      <w:pPr>
        <w:tabs>
          <w:tab w:val="left" w:pos="567"/>
          <w:tab w:val="left" w:pos="2268"/>
          <w:tab w:val="left" w:pos="2694"/>
        </w:tabs>
        <w:ind w:firstLine="397"/>
        <w:jc w:val="center"/>
        <w:rPr>
          <w:i/>
          <w:iCs/>
          <w:sz w:val="20"/>
          <w:szCs w:val="16"/>
        </w:rPr>
      </w:pPr>
    </w:p>
    <w:p w14:paraId="5107B57B" w14:textId="77777777" w:rsidR="00CD484C" w:rsidRDefault="00CD484C">
      <w:pPr>
        <w:tabs>
          <w:tab w:val="left" w:pos="567"/>
          <w:tab w:val="left" w:pos="2268"/>
          <w:tab w:val="left" w:pos="2694"/>
        </w:tabs>
        <w:ind w:firstLine="397"/>
        <w:jc w:val="center"/>
        <w:rPr>
          <w:i/>
          <w:iCs/>
          <w:sz w:val="20"/>
          <w:szCs w:val="16"/>
        </w:rPr>
      </w:pPr>
    </w:p>
    <w:p w14:paraId="2FCA0FD1" w14:textId="77777777" w:rsidR="00CD484C" w:rsidRDefault="00CD484C">
      <w:pPr>
        <w:tabs>
          <w:tab w:val="left" w:pos="567"/>
          <w:tab w:val="left" w:pos="2268"/>
          <w:tab w:val="left" w:pos="2694"/>
        </w:tabs>
        <w:jc w:val="center"/>
        <w:rPr>
          <w:i/>
          <w:iCs/>
          <w:sz w:val="18"/>
          <w:szCs w:val="16"/>
        </w:rPr>
      </w:pPr>
      <w:r>
        <w:rPr>
          <w:b/>
          <w:bCs/>
          <w:i/>
          <w:iCs/>
          <w:sz w:val="18"/>
          <w:szCs w:val="16"/>
        </w:rPr>
        <w:t>Рис. 5.</w:t>
      </w:r>
      <w:r>
        <w:rPr>
          <w:i/>
          <w:iCs/>
          <w:sz w:val="18"/>
          <w:szCs w:val="16"/>
        </w:rPr>
        <w:t xml:space="preserve"> Фото удмуртской женщины с украшениями из монет (по И.Г. Спасскому)</w:t>
      </w:r>
    </w:p>
    <w:p w14:paraId="75CDA07C" w14:textId="77777777" w:rsidR="00CD484C" w:rsidRDefault="00CD484C">
      <w:pPr>
        <w:tabs>
          <w:tab w:val="left" w:pos="567"/>
          <w:tab w:val="left" w:pos="2268"/>
          <w:tab w:val="left" w:pos="2694"/>
        </w:tabs>
        <w:ind w:firstLine="397"/>
        <w:jc w:val="center"/>
        <w:rPr>
          <w:i/>
          <w:iCs/>
          <w:sz w:val="20"/>
          <w:szCs w:val="16"/>
        </w:rPr>
      </w:pPr>
    </w:p>
    <w:p w14:paraId="6C92B3E6" w14:textId="77777777" w:rsidR="00CD484C" w:rsidRDefault="00CD484C">
      <w:pPr>
        <w:tabs>
          <w:tab w:val="left" w:pos="567"/>
          <w:tab w:val="left" w:pos="2268"/>
          <w:tab w:val="left" w:pos="2694"/>
        </w:tabs>
        <w:ind w:firstLine="397"/>
        <w:jc w:val="both"/>
        <w:rPr>
          <w:sz w:val="20"/>
          <w:szCs w:val="16"/>
        </w:rPr>
      </w:pPr>
      <w:r>
        <w:rPr>
          <w:sz w:val="20"/>
          <w:szCs w:val="16"/>
        </w:rPr>
        <w:t>Не менее интересной для истории денежного обращения Ближнего и Среднего Востока представляется изучение старших монет аббасидской составляющей Закавказских кладов 191–193 гг.х., которая ненамного уступает младшей ХГ кладов Банбаши и Яз-Кираги. (Рис. 4; табл. 4).</w:t>
      </w:r>
    </w:p>
    <w:p w14:paraId="530C6C53" w14:textId="77777777" w:rsidR="00CD484C" w:rsidRDefault="00CD484C">
      <w:pPr>
        <w:tabs>
          <w:tab w:val="left" w:pos="567"/>
          <w:tab w:val="left" w:pos="2268"/>
          <w:tab w:val="left" w:pos="2694"/>
        </w:tabs>
        <w:ind w:firstLine="397"/>
        <w:jc w:val="right"/>
        <w:rPr>
          <w:i/>
          <w:iCs/>
          <w:sz w:val="20"/>
          <w:szCs w:val="16"/>
        </w:rPr>
      </w:pPr>
    </w:p>
    <w:p w14:paraId="1EA48A0A" w14:textId="77777777" w:rsidR="00CD484C" w:rsidRDefault="00CD484C">
      <w:pPr>
        <w:tabs>
          <w:tab w:val="left" w:pos="567"/>
          <w:tab w:val="left" w:pos="2268"/>
          <w:tab w:val="left" w:pos="2694"/>
        </w:tabs>
        <w:ind w:firstLine="397"/>
        <w:jc w:val="right"/>
        <w:rPr>
          <w:i/>
          <w:iCs/>
          <w:sz w:val="20"/>
          <w:szCs w:val="16"/>
        </w:rPr>
      </w:pPr>
    </w:p>
    <w:p w14:paraId="29506BF7" w14:textId="77777777" w:rsidR="00CD484C" w:rsidRDefault="00CD484C">
      <w:pPr>
        <w:tabs>
          <w:tab w:val="left" w:pos="567"/>
          <w:tab w:val="left" w:pos="2268"/>
          <w:tab w:val="left" w:pos="2694"/>
        </w:tabs>
        <w:ind w:firstLine="397"/>
        <w:jc w:val="right"/>
        <w:rPr>
          <w:i/>
          <w:iCs/>
          <w:color w:val="000000"/>
          <w:sz w:val="20"/>
          <w:szCs w:val="16"/>
        </w:rPr>
      </w:pPr>
      <w:r>
        <w:rPr>
          <w:i/>
          <w:iCs/>
          <w:sz w:val="20"/>
          <w:szCs w:val="16"/>
        </w:rPr>
        <w:t>Таблица 4</w:t>
      </w:r>
      <w:r>
        <w:rPr>
          <w:i/>
          <w:iCs/>
          <w:color w:val="000000"/>
          <w:sz w:val="20"/>
          <w:szCs w:val="16"/>
        </w:rPr>
        <w:t xml:space="preserve"> </w:t>
      </w:r>
    </w:p>
    <w:p w14:paraId="0D4A9D67" w14:textId="77777777" w:rsidR="00CD484C" w:rsidRDefault="00CD484C">
      <w:pPr>
        <w:tabs>
          <w:tab w:val="left" w:pos="567"/>
          <w:tab w:val="left" w:pos="2268"/>
          <w:tab w:val="left" w:pos="2694"/>
        </w:tabs>
        <w:spacing w:after="80"/>
        <w:jc w:val="center"/>
        <w:rPr>
          <w:b/>
          <w:bCs/>
          <w:sz w:val="20"/>
          <w:szCs w:val="16"/>
        </w:rPr>
      </w:pPr>
      <w:r>
        <w:rPr>
          <w:b/>
          <w:bCs/>
          <w:color w:val="000000"/>
          <w:sz w:val="20"/>
          <w:szCs w:val="16"/>
        </w:rPr>
        <w:t>Старшая  хронологическая группа Закавказских кладов.</w:t>
      </w:r>
      <w:r>
        <w:rPr>
          <w:b/>
          <w:bCs/>
          <w:color w:val="000000"/>
          <w:sz w:val="20"/>
          <w:szCs w:val="16"/>
        </w:rPr>
        <w:br/>
        <w:t>(189/804-5 – 193/808-809)</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91"/>
        <w:gridCol w:w="1076"/>
        <w:gridCol w:w="1208"/>
        <w:gridCol w:w="1020"/>
      </w:tblGrid>
      <w:tr w:rsidR="00CD484C" w14:paraId="28897F63" w14:textId="77777777">
        <w:trPr>
          <w:jc w:val="center"/>
        </w:trPr>
        <w:tc>
          <w:tcPr>
            <w:tcW w:w="1791" w:type="dxa"/>
          </w:tcPr>
          <w:p w14:paraId="02853484" w14:textId="77777777" w:rsidR="00CD484C" w:rsidRDefault="00CD484C">
            <w:pPr>
              <w:jc w:val="both"/>
              <w:rPr>
                <w:sz w:val="16"/>
                <w:szCs w:val="16"/>
              </w:rPr>
            </w:pPr>
            <w:r>
              <w:rPr>
                <w:sz w:val="16"/>
                <w:szCs w:val="16"/>
              </w:rPr>
              <w:lastRenderedPageBreak/>
              <w:t>Монетный двор</w:t>
            </w:r>
          </w:p>
        </w:tc>
        <w:tc>
          <w:tcPr>
            <w:tcW w:w="1076" w:type="dxa"/>
          </w:tcPr>
          <w:p w14:paraId="4B3C52FE" w14:textId="77777777" w:rsidR="00CD484C" w:rsidRDefault="00CD484C">
            <w:pPr>
              <w:jc w:val="center"/>
              <w:rPr>
                <w:sz w:val="16"/>
                <w:szCs w:val="16"/>
              </w:rPr>
            </w:pPr>
            <w:r>
              <w:rPr>
                <w:sz w:val="16"/>
                <w:szCs w:val="16"/>
              </w:rPr>
              <w:t>Банбаши</w:t>
            </w:r>
          </w:p>
        </w:tc>
        <w:tc>
          <w:tcPr>
            <w:tcW w:w="1208" w:type="dxa"/>
          </w:tcPr>
          <w:p w14:paraId="6448A61A" w14:textId="77777777" w:rsidR="00CD484C" w:rsidRDefault="00CD484C">
            <w:pPr>
              <w:jc w:val="center"/>
              <w:rPr>
                <w:sz w:val="16"/>
                <w:szCs w:val="16"/>
              </w:rPr>
            </w:pPr>
            <w:r>
              <w:rPr>
                <w:sz w:val="16"/>
                <w:szCs w:val="16"/>
              </w:rPr>
              <w:t>Яз-Кираги</w:t>
            </w:r>
          </w:p>
        </w:tc>
        <w:tc>
          <w:tcPr>
            <w:tcW w:w="1020" w:type="dxa"/>
          </w:tcPr>
          <w:p w14:paraId="52191D65" w14:textId="77777777" w:rsidR="00CD484C" w:rsidRDefault="00CD484C">
            <w:pPr>
              <w:ind w:firstLine="21"/>
              <w:jc w:val="center"/>
              <w:rPr>
                <w:sz w:val="16"/>
                <w:szCs w:val="16"/>
              </w:rPr>
            </w:pPr>
            <w:r>
              <w:rPr>
                <w:sz w:val="16"/>
                <w:szCs w:val="16"/>
              </w:rPr>
              <w:t>Всего</w:t>
            </w:r>
          </w:p>
        </w:tc>
      </w:tr>
      <w:tr w:rsidR="00CD484C" w14:paraId="7C6B05A8" w14:textId="77777777">
        <w:trPr>
          <w:jc w:val="center"/>
        </w:trPr>
        <w:tc>
          <w:tcPr>
            <w:tcW w:w="1791" w:type="dxa"/>
          </w:tcPr>
          <w:p w14:paraId="3DE8CEAF" w14:textId="77777777" w:rsidR="00CD484C" w:rsidRDefault="00CD484C">
            <w:pPr>
              <w:jc w:val="both"/>
              <w:rPr>
                <w:sz w:val="18"/>
                <w:szCs w:val="16"/>
              </w:rPr>
            </w:pPr>
            <w:r>
              <w:rPr>
                <w:sz w:val="18"/>
                <w:szCs w:val="16"/>
              </w:rPr>
              <w:t>М/Салам</w:t>
            </w:r>
          </w:p>
        </w:tc>
        <w:tc>
          <w:tcPr>
            <w:tcW w:w="1076" w:type="dxa"/>
          </w:tcPr>
          <w:p w14:paraId="274DE19F" w14:textId="77777777" w:rsidR="00CD484C" w:rsidRDefault="00CD484C">
            <w:pPr>
              <w:jc w:val="center"/>
              <w:rPr>
                <w:sz w:val="18"/>
                <w:szCs w:val="16"/>
              </w:rPr>
            </w:pPr>
            <w:r>
              <w:rPr>
                <w:sz w:val="18"/>
                <w:szCs w:val="16"/>
              </w:rPr>
              <w:t>7</w:t>
            </w:r>
          </w:p>
        </w:tc>
        <w:tc>
          <w:tcPr>
            <w:tcW w:w="1208" w:type="dxa"/>
          </w:tcPr>
          <w:p w14:paraId="71D566A0" w14:textId="77777777" w:rsidR="00CD484C" w:rsidRDefault="00CD484C">
            <w:pPr>
              <w:jc w:val="center"/>
              <w:rPr>
                <w:sz w:val="18"/>
                <w:szCs w:val="16"/>
              </w:rPr>
            </w:pPr>
            <w:r>
              <w:rPr>
                <w:sz w:val="18"/>
                <w:szCs w:val="16"/>
              </w:rPr>
              <w:t>8</w:t>
            </w:r>
          </w:p>
        </w:tc>
        <w:tc>
          <w:tcPr>
            <w:tcW w:w="1020" w:type="dxa"/>
          </w:tcPr>
          <w:p w14:paraId="22CF0E79" w14:textId="77777777" w:rsidR="00CD484C" w:rsidRDefault="00CD484C">
            <w:pPr>
              <w:ind w:firstLine="21"/>
              <w:jc w:val="center"/>
              <w:rPr>
                <w:sz w:val="18"/>
                <w:szCs w:val="16"/>
              </w:rPr>
            </w:pPr>
            <w:r>
              <w:rPr>
                <w:sz w:val="18"/>
                <w:szCs w:val="16"/>
              </w:rPr>
              <w:t>15(79%)</w:t>
            </w:r>
          </w:p>
        </w:tc>
      </w:tr>
      <w:tr w:rsidR="00CD484C" w14:paraId="417EE805" w14:textId="77777777">
        <w:trPr>
          <w:jc w:val="center"/>
        </w:trPr>
        <w:tc>
          <w:tcPr>
            <w:tcW w:w="1791" w:type="dxa"/>
          </w:tcPr>
          <w:p w14:paraId="30C4E5BC" w14:textId="77777777" w:rsidR="00CD484C" w:rsidRDefault="00CD484C">
            <w:pPr>
              <w:jc w:val="both"/>
              <w:rPr>
                <w:sz w:val="18"/>
                <w:szCs w:val="16"/>
              </w:rPr>
            </w:pPr>
            <w:r>
              <w:rPr>
                <w:sz w:val="18"/>
                <w:szCs w:val="16"/>
              </w:rPr>
              <w:t>Самарканд</w:t>
            </w:r>
          </w:p>
        </w:tc>
        <w:tc>
          <w:tcPr>
            <w:tcW w:w="1076" w:type="dxa"/>
          </w:tcPr>
          <w:p w14:paraId="0CAE1FC3" w14:textId="77777777" w:rsidR="00CD484C" w:rsidRDefault="00CD484C">
            <w:pPr>
              <w:jc w:val="center"/>
              <w:rPr>
                <w:sz w:val="18"/>
                <w:szCs w:val="16"/>
              </w:rPr>
            </w:pPr>
            <w:r>
              <w:rPr>
                <w:sz w:val="18"/>
                <w:szCs w:val="16"/>
              </w:rPr>
              <w:t>1</w:t>
            </w:r>
          </w:p>
        </w:tc>
        <w:tc>
          <w:tcPr>
            <w:tcW w:w="1208" w:type="dxa"/>
          </w:tcPr>
          <w:p w14:paraId="0F0533BD" w14:textId="77777777" w:rsidR="00CD484C" w:rsidRDefault="00CD484C">
            <w:pPr>
              <w:jc w:val="center"/>
              <w:rPr>
                <w:sz w:val="18"/>
                <w:szCs w:val="16"/>
              </w:rPr>
            </w:pPr>
            <w:r>
              <w:rPr>
                <w:sz w:val="18"/>
                <w:szCs w:val="16"/>
              </w:rPr>
              <w:t>–</w:t>
            </w:r>
          </w:p>
        </w:tc>
        <w:tc>
          <w:tcPr>
            <w:tcW w:w="1020" w:type="dxa"/>
          </w:tcPr>
          <w:p w14:paraId="559EA077" w14:textId="77777777" w:rsidR="00CD484C" w:rsidRDefault="00CD484C">
            <w:pPr>
              <w:ind w:firstLine="21"/>
              <w:jc w:val="center"/>
              <w:rPr>
                <w:sz w:val="18"/>
                <w:szCs w:val="16"/>
              </w:rPr>
            </w:pPr>
            <w:r>
              <w:rPr>
                <w:sz w:val="18"/>
                <w:szCs w:val="16"/>
              </w:rPr>
              <w:t>1(5,26)</w:t>
            </w:r>
          </w:p>
        </w:tc>
      </w:tr>
      <w:tr w:rsidR="00CD484C" w14:paraId="1D13E884" w14:textId="77777777">
        <w:trPr>
          <w:jc w:val="center"/>
        </w:trPr>
        <w:tc>
          <w:tcPr>
            <w:tcW w:w="1791" w:type="dxa"/>
          </w:tcPr>
          <w:p w14:paraId="3C97EC25" w14:textId="77777777" w:rsidR="00CD484C" w:rsidRDefault="00CD484C">
            <w:pPr>
              <w:jc w:val="both"/>
              <w:rPr>
                <w:sz w:val="18"/>
                <w:szCs w:val="16"/>
              </w:rPr>
            </w:pPr>
            <w:r>
              <w:rPr>
                <w:sz w:val="18"/>
                <w:szCs w:val="16"/>
              </w:rPr>
              <w:t>Маадин/аш-Шаш</w:t>
            </w:r>
          </w:p>
        </w:tc>
        <w:tc>
          <w:tcPr>
            <w:tcW w:w="1076" w:type="dxa"/>
          </w:tcPr>
          <w:p w14:paraId="2B4B2999" w14:textId="77777777" w:rsidR="00CD484C" w:rsidRDefault="00CD484C">
            <w:pPr>
              <w:jc w:val="center"/>
              <w:rPr>
                <w:sz w:val="18"/>
                <w:szCs w:val="16"/>
              </w:rPr>
            </w:pPr>
            <w:r>
              <w:rPr>
                <w:sz w:val="18"/>
                <w:szCs w:val="16"/>
              </w:rPr>
              <w:t>–</w:t>
            </w:r>
          </w:p>
        </w:tc>
        <w:tc>
          <w:tcPr>
            <w:tcW w:w="1208" w:type="dxa"/>
          </w:tcPr>
          <w:p w14:paraId="7D87AA78" w14:textId="77777777" w:rsidR="00CD484C" w:rsidRDefault="00CD484C">
            <w:pPr>
              <w:jc w:val="center"/>
              <w:rPr>
                <w:sz w:val="18"/>
                <w:szCs w:val="16"/>
              </w:rPr>
            </w:pPr>
            <w:r>
              <w:rPr>
                <w:sz w:val="18"/>
                <w:szCs w:val="16"/>
              </w:rPr>
              <w:t>1</w:t>
            </w:r>
          </w:p>
        </w:tc>
        <w:tc>
          <w:tcPr>
            <w:tcW w:w="1020" w:type="dxa"/>
          </w:tcPr>
          <w:p w14:paraId="58A3C044" w14:textId="77777777" w:rsidR="00CD484C" w:rsidRDefault="00CD484C">
            <w:pPr>
              <w:ind w:firstLine="21"/>
              <w:jc w:val="center"/>
              <w:rPr>
                <w:sz w:val="18"/>
                <w:szCs w:val="16"/>
              </w:rPr>
            </w:pPr>
            <w:r>
              <w:rPr>
                <w:sz w:val="18"/>
                <w:szCs w:val="16"/>
              </w:rPr>
              <w:t>1(5,26)</w:t>
            </w:r>
          </w:p>
        </w:tc>
      </w:tr>
      <w:tr w:rsidR="00CD484C" w14:paraId="66AF1656" w14:textId="77777777">
        <w:trPr>
          <w:jc w:val="center"/>
        </w:trPr>
        <w:tc>
          <w:tcPr>
            <w:tcW w:w="1791" w:type="dxa"/>
          </w:tcPr>
          <w:p w14:paraId="1FCBD471" w14:textId="77777777" w:rsidR="00CD484C" w:rsidRDefault="00CD484C">
            <w:pPr>
              <w:jc w:val="both"/>
              <w:rPr>
                <w:sz w:val="18"/>
                <w:szCs w:val="16"/>
              </w:rPr>
            </w:pPr>
            <w:r>
              <w:rPr>
                <w:sz w:val="18"/>
                <w:szCs w:val="16"/>
              </w:rPr>
              <w:t>ал-Мухамадия</w:t>
            </w:r>
          </w:p>
        </w:tc>
        <w:tc>
          <w:tcPr>
            <w:tcW w:w="1076" w:type="dxa"/>
          </w:tcPr>
          <w:p w14:paraId="69A1A746" w14:textId="77777777" w:rsidR="00CD484C" w:rsidRDefault="00CD484C">
            <w:pPr>
              <w:jc w:val="center"/>
              <w:rPr>
                <w:sz w:val="18"/>
                <w:szCs w:val="16"/>
              </w:rPr>
            </w:pPr>
          </w:p>
        </w:tc>
        <w:tc>
          <w:tcPr>
            <w:tcW w:w="1208" w:type="dxa"/>
          </w:tcPr>
          <w:p w14:paraId="799B196B" w14:textId="77777777" w:rsidR="00CD484C" w:rsidRDefault="00CD484C">
            <w:pPr>
              <w:jc w:val="center"/>
              <w:rPr>
                <w:sz w:val="18"/>
                <w:szCs w:val="16"/>
              </w:rPr>
            </w:pPr>
            <w:r>
              <w:rPr>
                <w:sz w:val="18"/>
                <w:szCs w:val="16"/>
              </w:rPr>
              <w:t>1</w:t>
            </w:r>
          </w:p>
        </w:tc>
        <w:tc>
          <w:tcPr>
            <w:tcW w:w="1020" w:type="dxa"/>
          </w:tcPr>
          <w:p w14:paraId="4E2B1AC7" w14:textId="77777777" w:rsidR="00CD484C" w:rsidRDefault="00CD484C">
            <w:pPr>
              <w:ind w:firstLine="21"/>
              <w:jc w:val="center"/>
              <w:rPr>
                <w:sz w:val="18"/>
                <w:szCs w:val="16"/>
              </w:rPr>
            </w:pPr>
            <w:r>
              <w:rPr>
                <w:sz w:val="18"/>
                <w:szCs w:val="16"/>
              </w:rPr>
              <w:t>2(10,52)</w:t>
            </w:r>
          </w:p>
        </w:tc>
      </w:tr>
    </w:tbl>
    <w:p w14:paraId="65F8DD79" w14:textId="77777777" w:rsidR="00CD484C" w:rsidRDefault="00CD484C">
      <w:pPr>
        <w:tabs>
          <w:tab w:val="left" w:pos="567"/>
          <w:tab w:val="left" w:pos="2268"/>
          <w:tab w:val="left" w:pos="2694"/>
        </w:tabs>
        <w:ind w:firstLine="397"/>
        <w:jc w:val="both"/>
        <w:rPr>
          <w:sz w:val="12"/>
          <w:szCs w:val="16"/>
        </w:rPr>
      </w:pPr>
    </w:p>
    <w:p w14:paraId="17554AF1" w14:textId="77777777" w:rsidR="00CD484C" w:rsidRDefault="00CD484C">
      <w:pPr>
        <w:ind w:firstLine="397"/>
        <w:jc w:val="both"/>
        <w:rPr>
          <w:color w:val="000000"/>
          <w:spacing w:val="-4"/>
          <w:sz w:val="20"/>
          <w:szCs w:val="16"/>
        </w:rPr>
      </w:pPr>
      <w:r>
        <w:rPr>
          <w:color w:val="000000"/>
          <w:spacing w:val="-4"/>
          <w:sz w:val="20"/>
          <w:szCs w:val="16"/>
        </w:rPr>
        <w:t xml:space="preserve">Если в кладе Банбаши ММ данной ХГ – Самарканд 193 г., то в кладе Яз-Кираги ММ является Мухамедия (193 г.х.) преобладание чекана Мадинат-ас-Салама (79%), начало чеканки которого, как установил А.В. Фомин на нумизматическом материале ГИМа относится, к 139/756–7 гг., когда «ал-Мансур прочно закрепил за династией священное право мусульманских государей – чеканить собственную монету» (Фомин А.В., 1986. – С. 93).  </w:t>
      </w:r>
    </w:p>
    <w:p w14:paraId="3E28CD2D" w14:textId="77777777" w:rsidR="00CD484C" w:rsidRDefault="00CD484C">
      <w:pPr>
        <w:ind w:firstLine="397"/>
        <w:jc w:val="both"/>
        <w:rPr>
          <w:spacing w:val="-4"/>
          <w:sz w:val="20"/>
          <w:szCs w:val="16"/>
        </w:rPr>
      </w:pPr>
      <w:r>
        <w:rPr>
          <w:color w:val="000000"/>
          <w:spacing w:val="-4"/>
          <w:sz w:val="20"/>
          <w:szCs w:val="16"/>
        </w:rPr>
        <w:t>Наличие чекана других городов закавказских кладов на уровне ок.10% каждый демонстрирует лишь постепенное дифференциацию права эксплуатации монетной регалии в др.городах Халифата. В интегрированной старшей части кладов, представленной аббасидским чеканом, – две ММ – Самарканд и Мухамедия и топография кладов, точнее, из взаимное положение позволяет предположить, что дирхемы старших частей кладов были получены на рынке ал-Мухамедии, и в конце пути монетного потока – Мадинат-ас-Салам – ал-Мухамадия – Ардебиль – Муган произошло разделение, – часть монет с ММ Самарканд попала в клад Банбаши; др. часть с ММ Мухамедия – Яз-Кираги. Наличие в кл.Яз-Кираги монеты Исбахана 197 г. свидетельствует о пути – Багдад – Исбахан – Мухамадия – Ардебиль.</w:t>
      </w:r>
    </w:p>
    <w:p w14:paraId="3E541815" w14:textId="77777777" w:rsidR="00CD484C" w:rsidRDefault="00CD484C">
      <w:pPr>
        <w:ind w:firstLine="397"/>
        <w:jc w:val="both"/>
        <w:rPr>
          <w:spacing w:val="-4"/>
          <w:sz w:val="20"/>
          <w:szCs w:val="16"/>
        </w:rPr>
      </w:pPr>
      <w:r>
        <w:rPr>
          <w:spacing w:val="-4"/>
          <w:sz w:val="20"/>
          <w:szCs w:val="16"/>
        </w:rPr>
        <w:t>Обращает на себя внимание, что самая ранняя бувейхидская монета клада Яз-Кираги – дирхем битый в 324 г., тогда в кл.Банбаши – дирхем 325 г., выпущенный с именем халифа ар-Ради (Пахомов Е.А., 1966. – С. 36, № 50) .</w:t>
      </w:r>
    </w:p>
    <w:p w14:paraId="3B2CA436" w14:textId="77777777" w:rsidR="00CD484C" w:rsidRDefault="00CD484C">
      <w:pPr>
        <w:ind w:firstLine="397"/>
        <w:jc w:val="both"/>
        <w:rPr>
          <w:sz w:val="20"/>
          <w:szCs w:val="16"/>
        </w:rPr>
      </w:pPr>
      <w:r>
        <w:rPr>
          <w:sz w:val="20"/>
          <w:szCs w:val="16"/>
        </w:rPr>
        <w:t>В приведенных диаграммах «младших» и «старших» /Рис. 4; табл. 3 и рис. 5; табл. 2/ ХГ монет закавказских кладов, нетрудно заметить их принципиальную разницу, что наглядно иллюстрируется графически. В отличие от затухающей чеканки Аббасидов, показания младших ХГ также в интегрированной сетке /Рис.6/ демонстрируют постепенное увеличение притока валютного металла, т.е. позволяет ставить вопрос о не только о замещении монет «старшей» династии – монетами династий новых, но и о емкости рынка, т.к. возможно утверждать, что лишь небольшая часть саманидо-бувейхидского потока периода 333–342/945–954 гг. была зафиксирована кладом Яз-Кираги, о чем, в том числе, свидетельствует пролонгация на один период линия линейного тренда, исполненная по отношению к показателю «% к итогу» постаббасидской составляющей закавказских кладов. /Рис. 6/. На это наталкивает мысль А.В. Фомина, утверждающего о существовании средних норм вывоза монет.</w:t>
      </w:r>
    </w:p>
    <w:p w14:paraId="3AA48981" w14:textId="3D25634D" w:rsidR="00CD484C" w:rsidRDefault="00395416">
      <w:pPr>
        <w:jc w:val="center"/>
        <w:rPr>
          <w:sz w:val="16"/>
          <w:szCs w:val="16"/>
        </w:rPr>
      </w:pPr>
      <w:r>
        <w:rPr>
          <w:noProof/>
          <w:sz w:val="20"/>
          <w:szCs w:val="16"/>
        </w:rPr>
        <w:lastRenderedPageBreak/>
        <mc:AlternateContent>
          <mc:Choice Requires="wps">
            <w:drawing>
              <wp:anchor distT="0" distB="0" distL="114300" distR="114300" simplePos="0" relativeHeight="251661824" behindDoc="0" locked="1" layoutInCell="1" allowOverlap="1" wp14:anchorId="2DB2A288" wp14:editId="792FE306">
                <wp:simplePos x="0" y="0"/>
                <wp:positionH relativeFrom="column">
                  <wp:posOffset>0</wp:posOffset>
                </wp:positionH>
                <wp:positionV relativeFrom="paragraph">
                  <wp:posOffset>-252730</wp:posOffset>
                </wp:positionV>
                <wp:extent cx="4095750" cy="186690"/>
                <wp:effectExtent l="0" t="1905" r="3810" b="1905"/>
                <wp:wrapNone/>
                <wp:docPr id="109600405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F505B"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0D9A9225"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2A288" id="Text Box 221" o:spid="_x0000_s1068" type="#_x0000_t202" style="position:absolute;left:0;text-align:left;margin-left:0;margin-top:-19.9pt;width:322.5pt;height:1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TdnTi7wEAAMIDAAAOAAAAAAAAAAAAAAAAAC4CAABkcnMvZTJv&#10;RG9jLnhtbFBLAQItABQABgAIAAAAIQCnTgMH3gAAAAgBAAAPAAAAAAAAAAAAAAAAAEkEAABkcnMv&#10;ZG93bnJldi54bWxQSwUGAAAAAAQABADzAAAAVAUAAAAA&#10;" stroked="f">
                <v:textbox inset="0,0,0,0">
                  <w:txbxContent>
                    <w:p w14:paraId="325F505B"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0D9A9225" w14:textId="77777777" w:rsidR="00AE2133" w:rsidRDefault="00AE2133">
                      <w:pPr>
                        <w:rPr>
                          <w:b/>
                          <w:bCs/>
                          <w:sz w:val="2"/>
                          <w:u w:val="single"/>
                        </w:rPr>
                      </w:pPr>
                    </w:p>
                  </w:txbxContent>
                </v:textbox>
                <w10:anchorlock/>
              </v:shape>
            </w:pict>
          </mc:Fallback>
        </mc:AlternateContent>
      </w:r>
      <w:r>
        <w:rPr>
          <w:noProof/>
          <w:sz w:val="20"/>
          <w:szCs w:val="16"/>
        </w:rPr>
        <w:drawing>
          <wp:inline distT="0" distB="0" distL="0" distR="0" wp14:anchorId="67CDFE13" wp14:editId="2C6F9CBB">
            <wp:extent cx="4038600" cy="2721610"/>
            <wp:effectExtent l="0" t="0" r="0" b="0"/>
            <wp:docPr id="30"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53BE431" w14:textId="77777777" w:rsidR="00CD484C" w:rsidRDefault="00CD484C">
      <w:pPr>
        <w:jc w:val="center"/>
        <w:rPr>
          <w:i/>
          <w:iCs/>
          <w:sz w:val="18"/>
          <w:szCs w:val="16"/>
        </w:rPr>
      </w:pPr>
      <w:r>
        <w:rPr>
          <w:b/>
          <w:bCs/>
          <w:i/>
          <w:iCs/>
          <w:sz w:val="18"/>
          <w:szCs w:val="16"/>
        </w:rPr>
        <w:t>Рис. 6.</w:t>
      </w:r>
      <w:r>
        <w:rPr>
          <w:i/>
          <w:iCs/>
          <w:sz w:val="18"/>
          <w:szCs w:val="16"/>
        </w:rPr>
        <w:t xml:space="preserve"> Поступление постаббасидских монет в Закавказье.</w:t>
      </w:r>
    </w:p>
    <w:p w14:paraId="75AE0CD4" w14:textId="77777777" w:rsidR="00CD484C" w:rsidRDefault="00CD484C">
      <w:pPr>
        <w:jc w:val="center"/>
        <w:rPr>
          <w:i/>
          <w:iCs/>
          <w:sz w:val="8"/>
          <w:szCs w:val="16"/>
        </w:rPr>
      </w:pPr>
    </w:p>
    <w:p w14:paraId="312F29D6" w14:textId="77777777" w:rsidR="00CD484C" w:rsidRDefault="00CD484C">
      <w:pPr>
        <w:jc w:val="center"/>
        <w:rPr>
          <w:i/>
          <w:iCs/>
          <w:sz w:val="18"/>
          <w:szCs w:val="16"/>
        </w:rPr>
      </w:pPr>
      <w:r>
        <w:rPr>
          <w:i/>
          <w:iCs/>
          <w:sz w:val="18"/>
          <w:szCs w:val="16"/>
        </w:rPr>
        <w:t xml:space="preserve">Учитывается 121 монета двух азербайджанских кладов. На оси Y (сл.) указано количество монет – им соответствует график в столбиках; </w:t>
      </w:r>
      <w:r>
        <w:rPr>
          <w:i/>
          <w:iCs/>
          <w:sz w:val="18"/>
          <w:szCs w:val="16"/>
        </w:rPr>
        <w:br/>
        <w:t xml:space="preserve">на второй оси  Y указаны процентные соотношения – им соответствуют </w:t>
      </w:r>
      <w:r>
        <w:rPr>
          <w:i/>
          <w:iCs/>
          <w:sz w:val="18"/>
          <w:szCs w:val="16"/>
        </w:rPr>
        <w:br/>
        <w:t xml:space="preserve">линии графиков. Постаббасидская часть кладов распределена </w:t>
      </w:r>
      <w:r>
        <w:rPr>
          <w:i/>
          <w:iCs/>
          <w:sz w:val="18"/>
          <w:szCs w:val="16"/>
        </w:rPr>
        <w:br/>
        <w:t>как 22 и  99 монет соответственно</w:t>
      </w:r>
    </w:p>
    <w:p w14:paraId="7964C44A" w14:textId="77777777" w:rsidR="00CD484C" w:rsidRDefault="00CD484C">
      <w:pPr>
        <w:jc w:val="both"/>
        <w:rPr>
          <w:sz w:val="12"/>
          <w:szCs w:val="16"/>
        </w:rPr>
      </w:pPr>
    </w:p>
    <w:p w14:paraId="29CB4B03" w14:textId="77777777" w:rsidR="00CD484C" w:rsidRDefault="00CD484C">
      <w:pPr>
        <w:ind w:firstLine="397"/>
        <w:jc w:val="both"/>
        <w:rPr>
          <w:spacing w:val="-2"/>
          <w:sz w:val="20"/>
          <w:szCs w:val="16"/>
        </w:rPr>
      </w:pPr>
      <w:r>
        <w:rPr>
          <w:spacing w:val="-2"/>
          <w:sz w:val="20"/>
          <w:szCs w:val="16"/>
        </w:rPr>
        <w:t>В материалах кладов Бзован, Банбаши и Яз-Кираги можно видеть две стороны – политическую и экономическую, состоящие в том, что 324 и 325 гг., известным острым внутренним переустройством на политической карте Среднего Востока в не зависимости от политических изменений, экономическая жизнь не останавливалась (Фрай Р., 1972. – С. 335, 340–343). Монеты Берда’а, например,  отчеркивают старшие части названных кладов, являясь хронологическим рубежом в истории денежного обращения Закавказья. Динамизм, т.е. безусловное превалирование младших хроногрупп над предшествующими в обновлении хронологического состава – насыщение его новыми монетами – монетами «свежих эмиссий» свидетельствует заинтересованность правящей элиты в торговле, т.е. доминирование экономических интересов над политическими пристрастиями в жизни Закавказья</w:t>
      </w:r>
      <w:r>
        <w:rPr>
          <w:rStyle w:val="a6"/>
          <w:spacing w:val="-2"/>
          <w:sz w:val="20"/>
          <w:szCs w:val="16"/>
        </w:rPr>
        <w:footnoteReference w:customMarkFollows="1" w:id="64"/>
        <w:t>17</w:t>
      </w:r>
      <w:r>
        <w:rPr>
          <w:spacing w:val="-2"/>
          <w:sz w:val="20"/>
          <w:szCs w:val="16"/>
        </w:rPr>
        <w:t>.</w:t>
      </w:r>
    </w:p>
    <w:p w14:paraId="77097CF1" w14:textId="77777777" w:rsidR="00CD484C" w:rsidRDefault="00CD484C">
      <w:pPr>
        <w:ind w:firstLine="397"/>
        <w:jc w:val="both"/>
        <w:rPr>
          <w:spacing w:val="-4"/>
          <w:sz w:val="20"/>
          <w:szCs w:val="16"/>
        </w:rPr>
      </w:pPr>
      <w:r>
        <w:rPr>
          <w:spacing w:val="-4"/>
          <w:sz w:val="20"/>
          <w:szCs w:val="16"/>
        </w:rPr>
        <w:lastRenderedPageBreak/>
        <w:t>Об этом свидетельствует саджидская монета 319 г</w:t>
      </w:r>
      <w:r>
        <w:rPr>
          <w:spacing w:val="-4"/>
          <w:sz w:val="20"/>
          <w:szCs w:val="28"/>
        </w:rPr>
        <w:t xml:space="preserve">., </w:t>
      </w:r>
      <w:r>
        <w:rPr>
          <w:spacing w:val="-4"/>
          <w:sz w:val="20"/>
          <w:szCs w:val="16"/>
        </w:rPr>
        <w:t>выпущенная в Арминии кл. Бзован. Причем, Пахомов, разделяя точку зрения первого публикатора клада Х.А. Мушегяна – подражание, что позволяет сделать наблюдения, согласно которому начало саджидской чеканки в Арминии произошло от имени Юсуф б. Дивдада – хорошо известному местному населению, пользовавшегося покровительством халифа ал-Муктадира, убитого, по замечанию Мушегяна в 315 г. (Мушегян Х.А., 1962. – С. 144; Пахомов Е.А., 1966. – С. 34, № 22), поскольку иными, прежде всего метрологическим средствами, как политико-декларативными монетчики Арминии в 319 г. видимо не обладали.</w:t>
      </w:r>
    </w:p>
    <w:p w14:paraId="420B1500" w14:textId="77777777" w:rsidR="00CD484C" w:rsidRDefault="00CD484C">
      <w:pPr>
        <w:ind w:firstLine="397"/>
        <w:jc w:val="both"/>
        <w:rPr>
          <w:sz w:val="20"/>
          <w:szCs w:val="16"/>
        </w:rPr>
      </w:pPr>
      <w:r>
        <w:rPr>
          <w:sz w:val="20"/>
          <w:szCs w:val="16"/>
        </w:rPr>
        <w:t>Местные чеканы в кладах: Арминия; Берда’а; Азербайджан; Ардебиль, имеют большое значение в плане понимания скорости денежного обращения и интенсивности поступления куфической монеты в Закавказье, отражая, разумеется, и политическую историю Закавказья.</w:t>
      </w:r>
    </w:p>
    <w:p w14:paraId="3E3166C2" w14:textId="77777777" w:rsidR="00CD484C" w:rsidRDefault="00CD484C">
      <w:pPr>
        <w:tabs>
          <w:tab w:val="left" w:pos="567"/>
          <w:tab w:val="left" w:pos="2268"/>
          <w:tab w:val="left" w:pos="2694"/>
        </w:tabs>
        <w:ind w:firstLine="397"/>
        <w:jc w:val="both"/>
        <w:rPr>
          <w:sz w:val="20"/>
          <w:szCs w:val="16"/>
        </w:rPr>
      </w:pPr>
      <w:r>
        <w:rPr>
          <w:sz w:val="20"/>
          <w:szCs w:val="16"/>
        </w:rPr>
        <w:t>В числе малых династий, пытавшихся воспользоваться сумятицей в Багдаде была, в частности, династия Хамданидов</w:t>
      </w:r>
      <w:r>
        <w:rPr>
          <w:rStyle w:val="a6"/>
          <w:sz w:val="20"/>
          <w:szCs w:val="16"/>
        </w:rPr>
        <w:footnoteReference w:customMarkFollows="1" w:id="65"/>
        <w:t>18</w:t>
      </w:r>
      <w:r>
        <w:rPr>
          <w:sz w:val="20"/>
          <w:szCs w:val="16"/>
        </w:rPr>
        <w:t xml:space="preserve">, эмитировавшая, надо полагать дирхемы без  санкции официального Багдада от имени халифа Муттаки (330–333/940–944) в Мосуле. </w:t>
      </w:r>
    </w:p>
    <w:p w14:paraId="083FFE71" w14:textId="759B6C2C" w:rsidR="00CD484C" w:rsidRDefault="00CD484C">
      <w:pPr>
        <w:tabs>
          <w:tab w:val="left" w:pos="567"/>
          <w:tab w:val="left" w:pos="2268"/>
          <w:tab w:val="left" w:pos="2694"/>
        </w:tabs>
        <w:ind w:firstLine="397"/>
        <w:jc w:val="both"/>
        <w:rPr>
          <w:spacing w:val="-4"/>
          <w:sz w:val="20"/>
          <w:szCs w:val="16"/>
        </w:rPr>
      </w:pPr>
      <w:r>
        <w:rPr>
          <w:spacing w:val="-4"/>
          <w:sz w:val="20"/>
          <w:szCs w:val="16"/>
        </w:rPr>
        <w:t>Согласно Б. Шпулеру /Spuler B./, основатель династии Хасан с 929 г. занимал североиракские земли, получил лакаб «Насир ад-Даула (Spuler B., 1952. – S. 78–79). Хамданидские монеты, представленные только в кладе Яз-Кираги, известные по депозитам, найденным на территории Восточной Европы позволяют установить, что Насир ад-Даула и Саиф ад-дауа захватили власть в Мосуле в 330 г., а в  331 г. даже смогли занять Мадинат-ас-Салам, который, впрочем, быстро оставили. Халиф Муттаки быстро прекратил правление этой династии в североиракском городе, когда в 333 г. стал чеканить здесь монеты от своего имени – это была самая «младшая» монета аббасидской чеканки, отложившаяся в Закавказских кладах. Таким образом Хамданиды, как следует из материалов клада Яз-Кираги, правили с Мосуле только три года</w:t>
      </w:r>
      <w:r>
        <w:rPr>
          <w:rStyle w:val="a6"/>
          <w:spacing w:val="-4"/>
          <w:sz w:val="20"/>
          <w:szCs w:val="16"/>
        </w:rPr>
        <w:footnoteReference w:customMarkFollows="1" w:id="66"/>
        <w:t>19</w:t>
      </w:r>
      <w:r>
        <w:rPr>
          <w:spacing w:val="-4"/>
          <w:sz w:val="20"/>
          <w:szCs w:val="16"/>
        </w:rPr>
        <w:t>. Вместе с этим, уже в следующем 334/945 г. Багдад занял младший брат один из их трех соправителей шиитской династии Бувейхидов (Буидов) Абул Хасан Ахмад</w:t>
      </w:r>
      <w:r>
        <w:rPr>
          <w:rStyle w:val="a6"/>
          <w:spacing w:val="-4"/>
          <w:sz w:val="20"/>
          <w:szCs w:val="16"/>
        </w:rPr>
        <w:footnoteReference w:customMarkFollows="1" w:id="67"/>
        <w:t>20</w:t>
      </w:r>
      <w:r>
        <w:rPr>
          <w:spacing w:val="-4"/>
          <w:sz w:val="20"/>
          <w:szCs w:val="16"/>
        </w:rPr>
        <w:t xml:space="preserve">. </w:t>
      </w:r>
      <w:r>
        <w:rPr>
          <w:spacing w:val="-4"/>
          <w:sz w:val="20"/>
          <w:szCs w:val="16"/>
        </w:rPr>
        <w:lastRenderedPageBreak/>
        <w:t>Он получил лакаб Му’из ад-Даулы («Мощь держа</w:t>
      </w:r>
      <w:r w:rsidR="00395416">
        <w:rPr>
          <w:noProof/>
          <w:spacing w:val="-4"/>
          <w:sz w:val="20"/>
          <w:szCs w:val="16"/>
        </w:rPr>
        <mc:AlternateContent>
          <mc:Choice Requires="wps">
            <w:drawing>
              <wp:anchor distT="0" distB="0" distL="114300" distR="114300" simplePos="0" relativeHeight="251662848" behindDoc="0" locked="1" layoutInCell="1" allowOverlap="1" wp14:anchorId="3911FAB9" wp14:editId="1B786A87">
                <wp:simplePos x="0" y="0"/>
                <wp:positionH relativeFrom="column">
                  <wp:posOffset>0</wp:posOffset>
                </wp:positionH>
                <wp:positionV relativeFrom="paragraph">
                  <wp:posOffset>-252730</wp:posOffset>
                </wp:positionV>
                <wp:extent cx="4095750" cy="186690"/>
                <wp:effectExtent l="0" t="1905" r="3810" b="1905"/>
                <wp:wrapNone/>
                <wp:docPr id="1205149168"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F3F156"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5C7E406A"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1FAB9" id="Text Box 222" o:spid="_x0000_s1069" type="#_x0000_t202" style="position:absolute;left:0;text-align:left;margin-left:0;margin-top:-19.9pt;width:322.5pt;height:1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ghN637wEAAMIDAAAOAAAAAAAAAAAAAAAAAC4CAABkcnMvZTJv&#10;RG9jLnhtbFBLAQItABQABgAIAAAAIQCnTgMH3gAAAAgBAAAPAAAAAAAAAAAAAAAAAEkEAABkcnMv&#10;ZG93bnJldi54bWxQSwUGAAAAAAQABADzAAAAVAUAAAAA&#10;" stroked="f">
                <v:textbox inset="0,0,0,0">
                  <w:txbxContent>
                    <w:p w14:paraId="4FF3F156"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5C7E406A" w14:textId="77777777" w:rsidR="00AE2133" w:rsidRDefault="00AE2133">
                      <w:pPr>
                        <w:rPr>
                          <w:b/>
                          <w:bCs/>
                          <w:sz w:val="2"/>
                          <w:u w:val="single"/>
                        </w:rPr>
                      </w:pPr>
                    </w:p>
                  </w:txbxContent>
                </v:textbox>
                <w10:anchorlock/>
              </v:shape>
            </w:pict>
          </mc:Fallback>
        </mc:AlternateContent>
      </w:r>
      <w:r>
        <w:rPr>
          <w:spacing w:val="-4"/>
          <w:sz w:val="20"/>
          <w:szCs w:val="16"/>
        </w:rPr>
        <w:t>вы»)</w:t>
      </w:r>
      <w:r>
        <w:rPr>
          <w:rStyle w:val="a6"/>
          <w:spacing w:val="-4"/>
          <w:sz w:val="20"/>
          <w:szCs w:val="16"/>
        </w:rPr>
        <w:footnoteReference w:customMarkFollows="1" w:id="68"/>
        <w:t>21</w:t>
      </w:r>
      <w:r>
        <w:rPr>
          <w:spacing w:val="-4"/>
          <w:sz w:val="20"/>
          <w:szCs w:val="16"/>
        </w:rPr>
        <w:t>. Буиды не стали громить Хамданидов в знак благодарности за взятие Багдада (Spuler B., 1952. – S. 79). Аббасиды в лице багдадского халифа Муттаки с 334/945 г. лишились права чеканить монету от своего имени (Янина С.А., 1956. – С. 200; История Ирана, 1958. – С. 110).</w:t>
      </w:r>
    </w:p>
    <w:p w14:paraId="1A10DFFD" w14:textId="77777777" w:rsidR="00CD484C" w:rsidRDefault="00CD484C">
      <w:pPr>
        <w:ind w:firstLine="397"/>
        <w:jc w:val="both"/>
        <w:rPr>
          <w:sz w:val="20"/>
          <w:szCs w:val="16"/>
        </w:rPr>
      </w:pPr>
      <w:r>
        <w:rPr>
          <w:sz w:val="20"/>
          <w:szCs w:val="16"/>
        </w:rPr>
        <w:t>Значительный интерес представляют локальные особенности с эмиссионной привязкой: Харран – Бердаа и Азербайджан –  Ардебиль, где, согласно Бартольду правили арабская династия Саджиды и  гилянская, т.е. дайламетская династии Саларидов соответственно. Именно Берда’а, Ардебиль были главными центрами вывоза монет с территории Азербайджана, выпавшие в кладах на средней Волге в конце Х – начале XI в. (Хан Н.А., 2002. – С. 71).</w:t>
      </w:r>
    </w:p>
    <w:p w14:paraId="146DA376" w14:textId="77777777" w:rsidR="00CD484C" w:rsidRDefault="00CD484C">
      <w:pPr>
        <w:tabs>
          <w:tab w:val="left" w:pos="0"/>
          <w:tab w:val="left" w:pos="2268"/>
          <w:tab w:val="left" w:pos="2694"/>
        </w:tabs>
        <w:ind w:firstLine="397"/>
        <w:jc w:val="both"/>
        <w:rPr>
          <w:sz w:val="20"/>
          <w:szCs w:val="16"/>
        </w:rPr>
      </w:pPr>
      <w:r>
        <w:rPr>
          <w:sz w:val="20"/>
          <w:szCs w:val="16"/>
        </w:rPr>
        <w:t>Рассмотрим  эмиссионную пару Харран – Берда’а /Табл. 5/, где  видно, что начало провинциальной чеканки – выделение области Харран(Арран) – Берда’а произошло при Муктадире (295–320/908–932) и носило эпизодический характер.</w:t>
      </w:r>
    </w:p>
    <w:p w14:paraId="4D24A255" w14:textId="77777777" w:rsidR="00CD484C" w:rsidRDefault="00CD484C">
      <w:pPr>
        <w:tabs>
          <w:tab w:val="left" w:pos="567"/>
          <w:tab w:val="left" w:pos="2268"/>
          <w:tab w:val="left" w:pos="2694"/>
        </w:tabs>
        <w:ind w:firstLine="397"/>
        <w:jc w:val="both"/>
        <w:rPr>
          <w:sz w:val="12"/>
          <w:szCs w:val="16"/>
        </w:rPr>
      </w:pPr>
    </w:p>
    <w:p w14:paraId="11748720" w14:textId="77777777" w:rsidR="00CD484C" w:rsidRDefault="00CD484C">
      <w:pPr>
        <w:tabs>
          <w:tab w:val="left" w:pos="567"/>
          <w:tab w:val="left" w:pos="2268"/>
          <w:tab w:val="left" w:pos="2694"/>
        </w:tabs>
        <w:ind w:firstLine="397"/>
        <w:jc w:val="right"/>
        <w:rPr>
          <w:i/>
          <w:iCs/>
          <w:sz w:val="20"/>
          <w:szCs w:val="16"/>
        </w:rPr>
      </w:pPr>
      <w:r>
        <w:rPr>
          <w:i/>
          <w:iCs/>
          <w:sz w:val="20"/>
          <w:szCs w:val="16"/>
        </w:rPr>
        <w:t xml:space="preserve">Таблица 5 </w:t>
      </w:r>
    </w:p>
    <w:p w14:paraId="3E708DD9" w14:textId="77777777" w:rsidR="00CD484C" w:rsidRDefault="00CD484C">
      <w:pPr>
        <w:pStyle w:val="8"/>
        <w:tabs>
          <w:tab w:val="left" w:pos="567"/>
          <w:tab w:val="left" w:pos="2268"/>
          <w:tab w:val="left" w:pos="2694"/>
        </w:tabs>
        <w:spacing w:after="120"/>
        <w:rPr>
          <w:bCs/>
        </w:rPr>
      </w:pPr>
      <w:r>
        <w:rPr>
          <w:bCs/>
        </w:rPr>
        <w:t>Распределение эмиссионной пары «Харран – Берда’а»</w:t>
      </w:r>
    </w:p>
    <w:tbl>
      <w:tblPr>
        <w:tblW w:w="6479" w:type="dxa"/>
        <w:jc w:val="center"/>
        <w:tblLayout w:type="fixed"/>
        <w:tblLook w:val="00A0" w:firstRow="1" w:lastRow="0" w:firstColumn="1" w:lastColumn="0" w:noHBand="0" w:noVBand="0"/>
      </w:tblPr>
      <w:tblGrid>
        <w:gridCol w:w="900"/>
        <w:gridCol w:w="1080"/>
        <w:gridCol w:w="1639"/>
        <w:gridCol w:w="1124"/>
        <w:gridCol w:w="1736"/>
      </w:tblGrid>
      <w:tr w:rsidR="00CD484C" w14:paraId="39E17CC9" w14:textId="77777777">
        <w:trPr>
          <w:trHeight w:val="391"/>
          <w:jc w:val="center"/>
        </w:trPr>
        <w:tc>
          <w:tcPr>
            <w:tcW w:w="900" w:type="dxa"/>
            <w:tcBorders>
              <w:top w:val="single" w:sz="12" w:space="0" w:color="000000"/>
              <w:bottom w:val="single" w:sz="6" w:space="0" w:color="000000"/>
              <w:right w:val="single" w:sz="6" w:space="0" w:color="000000"/>
            </w:tcBorders>
            <w:vAlign w:val="center"/>
          </w:tcPr>
          <w:p w14:paraId="7EFE92A6" w14:textId="77777777" w:rsidR="00CD484C" w:rsidRDefault="00CD484C">
            <w:pPr>
              <w:tabs>
                <w:tab w:val="left" w:pos="567"/>
                <w:tab w:val="left" w:pos="2268"/>
                <w:tab w:val="left" w:pos="2694"/>
              </w:tabs>
              <w:jc w:val="center"/>
              <w:rPr>
                <w:i/>
                <w:sz w:val="18"/>
                <w:szCs w:val="16"/>
              </w:rPr>
            </w:pPr>
            <w:r>
              <w:rPr>
                <w:i/>
                <w:sz w:val="18"/>
                <w:szCs w:val="16"/>
              </w:rPr>
              <w:t>М/двор</w:t>
            </w:r>
          </w:p>
        </w:tc>
        <w:tc>
          <w:tcPr>
            <w:tcW w:w="1080" w:type="dxa"/>
            <w:tcBorders>
              <w:top w:val="single" w:sz="12" w:space="0" w:color="000000"/>
              <w:left w:val="nil"/>
              <w:bottom w:val="single" w:sz="6" w:space="0" w:color="000000"/>
            </w:tcBorders>
            <w:vAlign w:val="center"/>
          </w:tcPr>
          <w:p w14:paraId="074CDBD3" w14:textId="77777777" w:rsidR="00CD484C" w:rsidRDefault="00CD484C">
            <w:pPr>
              <w:pStyle w:val="1"/>
              <w:tabs>
                <w:tab w:val="left" w:pos="567"/>
                <w:tab w:val="left" w:pos="2268"/>
                <w:tab w:val="left" w:pos="2694"/>
              </w:tabs>
              <w:overflowPunct/>
              <w:autoSpaceDE/>
              <w:autoSpaceDN/>
              <w:adjustRightInd/>
              <w:jc w:val="center"/>
              <w:textAlignment w:val="auto"/>
              <w:rPr>
                <w:sz w:val="18"/>
                <w:szCs w:val="16"/>
                <w:lang w:val="ru-RU"/>
              </w:rPr>
            </w:pPr>
            <w:r>
              <w:rPr>
                <w:sz w:val="18"/>
                <w:szCs w:val="16"/>
                <w:lang w:val="ru-RU"/>
              </w:rPr>
              <w:t>Дата</w:t>
            </w:r>
          </w:p>
        </w:tc>
        <w:tc>
          <w:tcPr>
            <w:tcW w:w="1639" w:type="dxa"/>
            <w:tcBorders>
              <w:top w:val="single" w:sz="12" w:space="0" w:color="000000"/>
              <w:bottom w:val="single" w:sz="6" w:space="0" w:color="000000"/>
            </w:tcBorders>
            <w:vAlign w:val="center"/>
          </w:tcPr>
          <w:p w14:paraId="2A99E853" w14:textId="77777777" w:rsidR="00CD484C" w:rsidRDefault="00CD484C">
            <w:pPr>
              <w:pStyle w:val="1"/>
              <w:tabs>
                <w:tab w:val="left" w:pos="567"/>
                <w:tab w:val="left" w:pos="2268"/>
                <w:tab w:val="left" w:pos="2694"/>
              </w:tabs>
              <w:overflowPunct/>
              <w:autoSpaceDE/>
              <w:autoSpaceDN/>
              <w:adjustRightInd/>
              <w:jc w:val="center"/>
              <w:textAlignment w:val="auto"/>
              <w:rPr>
                <w:sz w:val="18"/>
                <w:szCs w:val="16"/>
                <w:lang w:val="ru-RU"/>
              </w:rPr>
            </w:pPr>
            <w:r>
              <w:rPr>
                <w:sz w:val="18"/>
                <w:szCs w:val="16"/>
                <w:lang w:val="ru-RU"/>
              </w:rPr>
              <w:t>Имя эмитента</w:t>
            </w:r>
          </w:p>
        </w:tc>
        <w:tc>
          <w:tcPr>
            <w:tcW w:w="1124" w:type="dxa"/>
            <w:tcBorders>
              <w:top w:val="single" w:sz="12" w:space="0" w:color="000000"/>
              <w:bottom w:val="single" w:sz="6" w:space="0" w:color="000000"/>
            </w:tcBorders>
            <w:vAlign w:val="center"/>
          </w:tcPr>
          <w:p w14:paraId="6D72743E" w14:textId="77777777" w:rsidR="00CD484C" w:rsidRDefault="00CD484C">
            <w:pPr>
              <w:pStyle w:val="1"/>
              <w:tabs>
                <w:tab w:val="left" w:pos="567"/>
                <w:tab w:val="left" w:pos="2268"/>
                <w:tab w:val="left" w:pos="2694"/>
              </w:tabs>
              <w:overflowPunct/>
              <w:autoSpaceDE/>
              <w:autoSpaceDN/>
              <w:adjustRightInd/>
              <w:jc w:val="center"/>
              <w:textAlignment w:val="auto"/>
              <w:rPr>
                <w:sz w:val="18"/>
                <w:szCs w:val="16"/>
                <w:lang w:val="ru-RU"/>
              </w:rPr>
            </w:pPr>
            <w:r>
              <w:rPr>
                <w:sz w:val="18"/>
                <w:szCs w:val="16"/>
                <w:lang w:val="ru-RU"/>
              </w:rPr>
              <w:t>Клад</w:t>
            </w:r>
          </w:p>
        </w:tc>
        <w:tc>
          <w:tcPr>
            <w:tcW w:w="1736" w:type="dxa"/>
            <w:tcBorders>
              <w:top w:val="single" w:sz="12" w:space="0" w:color="000000"/>
              <w:bottom w:val="single" w:sz="6" w:space="0" w:color="000000"/>
            </w:tcBorders>
            <w:vAlign w:val="center"/>
          </w:tcPr>
          <w:p w14:paraId="5AE26249" w14:textId="77777777" w:rsidR="00CD484C" w:rsidRDefault="00CD484C">
            <w:pPr>
              <w:tabs>
                <w:tab w:val="left" w:pos="567"/>
                <w:tab w:val="left" w:pos="2268"/>
                <w:tab w:val="left" w:pos="2694"/>
              </w:tabs>
              <w:ind w:hanging="11"/>
              <w:jc w:val="center"/>
              <w:rPr>
                <w:i/>
                <w:sz w:val="18"/>
                <w:szCs w:val="16"/>
              </w:rPr>
            </w:pPr>
            <w:r>
              <w:rPr>
                <w:i/>
                <w:sz w:val="18"/>
                <w:szCs w:val="16"/>
              </w:rPr>
              <w:t>Примечание</w:t>
            </w:r>
          </w:p>
        </w:tc>
      </w:tr>
      <w:tr w:rsidR="00CD484C" w14:paraId="5BDB94BC" w14:textId="77777777">
        <w:trPr>
          <w:trHeight w:val="682"/>
          <w:jc w:val="center"/>
        </w:trPr>
        <w:tc>
          <w:tcPr>
            <w:tcW w:w="900" w:type="dxa"/>
            <w:tcBorders>
              <w:right w:val="single" w:sz="6" w:space="0" w:color="000000"/>
            </w:tcBorders>
          </w:tcPr>
          <w:p w14:paraId="1A7D04F0" w14:textId="77777777" w:rsidR="00CD484C" w:rsidRDefault="00CD484C">
            <w:pPr>
              <w:tabs>
                <w:tab w:val="left" w:pos="567"/>
                <w:tab w:val="left" w:pos="2268"/>
                <w:tab w:val="left" w:pos="2694"/>
              </w:tabs>
              <w:jc w:val="both"/>
              <w:rPr>
                <w:sz w:val="18"/>
                <w:szCs w:val="16"/>
              </w:rPr>
            </w:pPr>
            <w:r>
              <w:rPr>
                <w:sz w:val="18"/>
                <w:szCs w:val="16"/>
              </w:rPr>
              <w:t>Харран</w:t>
            </w:r>
          </w:p>
        </w:tc>
        <w:tc>
          <w:tcPr>
            <w:tcW w:w="1080" w:type="dxa"/>
            <w:tcBorders>
              <w:left w:val="nil"/>
            </w:tcBorders>
          </w:tcPr>
          <w:p w14:paraId="49331D77" w14:textId="77777777" w:rsidR="00CD484C" w:rsidRDefault="00CD484C">
            <w:pPr>
              <w:tabs>
                <w:tab w:val="left" w:pos="567"/>
                <w:tab w:val="left" w:pos="2268"/>
                <w:tab w:val="left" w:pos="2694"/>
              </w:tabs>
              <w:jc w:val="center"/>
              <w:rPr>
                <w:sz w:val="18"/>
                <w:szCs w:val="16"/>
              </w:rPr>
            </w:pPr>
            <w:r>
              <w:rPr>
                <w:sz w:val="18"/>
                <w:szCs w:val="16"/>
              </w:rPr>
              <w:t>313/925;</w:t>
            </w:r>
          </w:p>
          <w:p w14:paraId="48FE3380" w14:textId="77777777" w:rsidR="00CD484C" w:rsidRDefault="00CD484C">
            <w:pPr>
              <w:tabs>
                <w:tab w:val="left" w:pos="567"/>
                <w:tab w:val="left" w:pos="2268"/>
                <w:tab w:val="left" w:pos="2694"/>
              </w:tabs>
              <w:jc w:val="center"/>
              <w:rPr>
                <w:sz w:val="18"/>
                <w:szCs w:val="16"/>
              </w:rPr>
            </w:pPr>
          </w:p>
          <w:p w14:paraId="5B0A8419" w14:textId="77777777" w:rsidR="00CD484C" w:rsidRDefault="00CD484C">
            <w:pPr>
              <w:tabs>
                <w:tab w:val="left" w:pos="567"/>
                <w:tab w:val="left" w:pos="2268"/>
                <w:tab w:val="left" w:pos="2694"/>
              </w:tabs>
              <w:jc w:val="center"/>
              <w:rPr>
                <w:sz w:val="18"/>
                <w:szCs w:val="16"/>
              </w:rPr>
            </w:pPr>
            <w:r>
              <w:rPr>
                <w:sz w:val="18"/>
                <w:szCs w:val="16"/>
              </w:rPr>
              <w:t>320/932</w:t>
            </w:r>
          </w:p>
        </w:tc>
        <w:tc>
          <w:tcPr>
            <w:tcW w:w="1639" w:type="dxa"/>
          </w:tcPr>
          <w:p w14:paraId="3D7AA1AD" w14:textId="77777777" w:rsidR="00CD484C" w:rsidRDefault="00CD484C">
            <w:pPr>
              <w:tabs>
                <w:tab w:val="left" w:pos="567"/>
                <w:tab w:val="left" w:pos="2268"/>
                <w:tab w:val="left" w:pos="2694"/>
              </w:tabs>
              <w:jc w:val="center"/>
              <w:rPr>
                <w:sz w:val="18"/>
                <w:szCs w:val="16"/>
              </w:rPr>
            </w:pPr>
            <w:r>
              <w:rPr>
                <w:sz w:val="18"/>
                <w:szCs w:val="16"/>
              </w:rPr>
              <w:t xml:space="preserve">ал-Муктадир </w:t>
            </w:r>
            <w:r>
              <w:rPr>
                <w:sz w:val="18"/>
                <w:szCs w:val="16"/>
              </w:rPr>
              <w:br/>
              <w:t>Аббсид</w:t>
            </w:r>
          </w:p>
          <w:p w14:paraId="24994796" w14:textId="77777777" w:rsidR="00CD484C" w:rsidRDefault="00CD484C">
            <w:pPr>
              <w:tabs>
                <w:tab w:val="left" w:pos="567"/>
                <w:tab w:val="left" w:pos="2268"/>
                <w:tab w:val="left" w:pos="2694"/>
              </w:tabs>
              <w:jc w:val="center"/>
              <w:rPr>
                <w:sz w:val="18"/>
                <w:szCs w:val="16"/>
              </w:rPr>
            </w:pPr>
            <w:r>
              <w:rPr>
                <w:sz w:val="18"/>
                <w:szCs w:val="16"/>
              </w:rPr>
              <w:t>Он же</w:t>
            </w:r>
          </w:p>
        </w:tc>
        <w:tc>
          <w:tcPr>
            <w:tcW w:w="1124" w:type="dxa"/>
          </w:tcPr>
          <w:p w14:paraId="275C01E3" w14:textId="77777777" w:rsidR="00CD484C" w:rsidRDefault="00CD484C">
            <w:pPr>
              <w:tabs>
                <w:tab w:val="left" w:pos="567"/>
                <w:tab w:val="left" w:pos="2268"/>
                <w:tab w:val="left" w:pos="2694"/>
              </w:tabs>
              <w:jc w:val="center"/>
              <w:rPr>
                <w:sz w:val="18"/>
                <w:szCs w:val="16"/>
              </w:rPr>
            </w:pPr>
            <w:r>
              <w:rPr>
                <w:sz w:val="18"/>
                <w:szCs w:val="16"/>
              </w:rPr>
              <w:t>Яз-Кираги</w:t>
            </w:r>
          </w:p>
          <w:p w14:paraId="0FC12461" w14:textId="77777777" w:rsidR="00CD484C" w:rsidRDefault="00CD484C">
            <w:pPr>
              <w:tabs>
                <w:tab w:val="left" w:pos="567"/>
                <w:tab w:val="left" w:pos="2268"/>
                <w:tab w:val="left" w:pos="2694"/>
              </w:tabs>
              <w:jc w:val="center"/>
              <w:rPr>
                <w:sz w:val="18"/>
                <w:szCs w:val="16"/>
              </w:rPr>
            </w:pPr>
          </w:p>
          <w:p w14:paraId="7F9D5894" w14:textId="77777777" w:rsidR="00CD484C" w:rsidRDefault="00CD484C">
            <w:pPr>
              <w:tabs>
                <w:tab w:val="left" w:pos="567"/>
                <w:tab w:val="left" w:pos="2268"/>
                <w:tab w:val="left" w:pos="2694"/>
              </w:tabs>
              <w:jc w:val="center"/>
              <w:rPr>
                <w:sz w:val="18"/>
                <w:szCs w:val="16"/>
              </w:rPr>
            </w:pPr>
            <w:r>
              <w:rPr>
                <w:sz w:val="18"/>
                <w:szCs w:val="16"/>
              </w:rPr>
              <w:t>Бзован</w:t>
            </w:r>
          </w:p>
        </w:tc>
        <w:tc>
          <w:tcPr>
            <w:tcW w:w="1736" w:type="dxa"/>
          </w:tcPr>
          <w:p w14:paraId="525C2093" w14:textId="77777777" w:rsidR="00CD484C" w:rsidRDefault="00CD484C">
            <w:pPr>
              <w:tabs>
                <w:tab w:val="left" w:pos="567"/>
                <w:tab w:val="left" w:pos="2268"/>
                <w:tab w:val="left" w:pos="2694"/>
              </w:tabs>
              <w:ind w:hanging="11"/>
              <w:jc w:val="center"/>
              <w:rPr>
                <w:sz w:val="18"/>
                <w:szCs w:val="16"/>
              </w:rPr>
            </w:pPr>
            <w:r>
              <w:rPr>
                <w:sz w:val="18"/>
                <w:szCs w:val="16"/>
              </w:rPr>
              <w:t>Пахомов, с. 46.</w:t>
            </w:r>
          </w:p>
          <w:p w14:paraId="335A7627" w14:textId="77777777" w:rsidR="00CD484C" w:rsidRDefault="00CD484C">
            <w:pPr>
              <w:tabs>
                <w:tab w:val="left" w:pos="567"/>
                <w:tab w:val="left" w:pos="2268"/>
                <w:tab w:val="left" w:pos="2694"/>
              </w:tabs>
              <w:ind w:hanging="11"/>
              <w:jc w:val="center"/>
              <w:rPr>
                <w:sz w:val="18"/>
                <w:szCs w:val="16"/>
              </w:rPr>
            </w:pPr>
          </w:p>
          <w:p w14:paraId="30738C56" w14:textId="77777777" w:rsidR="00CD484C" w:rsidRDefault="00CD484C">
            <w:pPr>
              <w:tabs>
                <w:tab w:val="left" w:pos="567"/>
                <w:tab w:val="left" w:pos="2268"/>
                <w:tab w:val="left" w:pos="2694"/>
              </w:tabs>
              <w:ind w:hanging="11"/>
              <w:jc w:val="center"/>
              <w:rPr>
                <w:sz w:val="18"/>
                <w:szCs w:val="16"/>
              </w:rPr>
            </w:pPr>
            <w:r>
              <w:rPr>
                <w:sz w:val="18"/>
                <w:szCs w:val="16"/>
              </w:rPr>
              <w:t>Там же. – С. 33, № 16.</w:t>
            </w:r>
          </w:p>
        </w:tc>
      </w:tr>
      <w:tr w:rsidR="00CD484C" w14:paraId="35A70AEB" w14:textId="77777777">
        <w:trPr>
          <w:trHeight w:val="505"/>
          <w:jc w:val="center"/>
        </w:trPr>
        <w:tc>
          <w:tcPr>
            <w:tcW w:w="900" w:type="dxa"/>
            <w:tcBorders>
              <w:bottom w:val="single" w:sz="12" w:space="0" w:color="000000"/>
              <w:right w:val="single" w:sz="6" w:space="0" w:color="000000"/>
            </w:tcBorders>
          </w:tcPr>
          <w:p w14:paraId="11E5D3CE" w14:textId="77777777" w:rsidR="00CD484C" w:rsidRDefault="00CD484C">
            <w:pPr>
              <w:tabs>
                <w:tab w:val="left" w:pos="567"/>
                <w:tab w:val="left" w:pos="2268"/>
                <w:tab w:val="left" w:pos="2694"/>
              </w:tabs>
              <w:jc w:val="both"/>
              <w:rPr>
                <w:sz w:val="18"/>
                <w:szCs w:val="16"/>
              </w:rPr>
            </w:pPr>
            <w:r>
              <w:rPr>
                <w:sz w:val="18"/>
                <w:szCs w:val="16"/>
              </w:rPr>
              <w:t>Берда’а</w:t>
            </w:r>
          </w:p>
        </w:tc>
        <w:tc>
          <w:tcPr>
            <w:tcW w:w="1080" w:type="dxa"/>
            <w:tcBorders>
              <w:left w:val="nil"/>
              <w:bottom w:val="single" w:sz="12" w:space="0" w:color="000000"/>
            </w:tcBorders>
          </w:tcPr>
          <w:p w14:paraId="38FB41B4" w14:textId="77777777" w:rsidR="00CD484C" w:rsidRDefault="00CD484C">
            <w:pPr>
              <w:tabs>
                <w:tab w:val="left" w:pos="567"/>
                <w:tab w:val="left" w:pos="2268"/>
                <w:tab w:val="left" w:pos="2694"/>
              </w:tabs>
              <w:jc w:val="center"/>
              <w:rPr>
                <w:sz w:val="18"/>
                <w:szCs w:val="16"/>
              </w:rPr>
            </w:pPr>
            <w:r>
              <w:rPr>
                <w:sz w:val="18"/>
                <w:szCs w:val="16"/>
              </w:rPr>
              <w:t>315/927;</w:t>
            </w:r>
          </w:p>
          <w:p w14:paraId="1A147541" w14:textId="77777777" w:rsidR="00CD484C" w:rsidRDefault="00CD484C">
            <w:pPr>
              <w:tabs>
                <w:tab w:val="left" w:pos="567"/>
                <w:tab w:val="left" w:pos="2268"/>
                <w:tab w:val="left" w:pos="2694"/>
              </w:tabs>
              <w:jc w:val="center"/>
              <w:rPr>
                <w:sz w:val="18"/>
                <w:szCs w:val="16"/>
              </w:rPr>
            </w:pPr>
          </w:p>
          <w:p w14:paraId="1DE2F071" w14:textId="77777777" w:rsidR="00CD484C" w:rsidRDefault="00CD484C">
            <w:pPr>
              <w:tabs>
                <w:tab w:val="left" w:pos="567"/>
                <w:tab w:val="left" w:pos="2268"/>
                <w:tab w:val="left" w:pos="2694"/>
              </w:tabs>
              <w:jc w:val="center"/>
              <w:rPr>
                <w:sz w:val="18"/>
                <w:szCs w:val="16"/>
              </w:rPr>
            </w:pPr>
          </w:p>
          <w:p w14:paraId="262EF0E0" w14:textId="77777777" w:rsidR="00CD484C" w:rsidRDefault="00CD484C">
            <w:pPr>
              <w:tabs>
                <w:tab w:val="left" w:pos="567"/>
                <w:tab w:val="left" w:pos="2268"/>
                <w:tab w:val="left" w:pos="2694"/>
              </w:tabs>
              <w:jc w:val="center"/>
              <w:rPr>
                <w:sz w:val="18"/>
                <w:szCs w:val="16"/>
              </w:rPr>
            </w:pPr>
            <w:r>
              <w:rPr>
                <w:sz w:val="18"/>
                <w:szCs w:val="16"/>
              </w:rPr>
              <w:t>321/933</w:t>
            </w:r>
          </w:p>
        </w:tc>
        <w:tc>
          <w:tcPr>
            <w:tcW w:w="1639" w:type="dxa"/>
            <w:tcBorders>
              <w:bottom w:val="single" w:sz="12" w:space="0" w:color="000000"/>
            </w:tcBorders>
          </w:tcPr>
          <w:p w14:paraId="71DB8256" w14:textId="77777777" w:rsidR="00CD484C" w:rsidRDefault="00CD484C">
            <w:pPr>
              <w:tabs>
                <w:tab w:val="left" w:pos="567"/>
                <w:tab w:val="left" w:pos="2268"/>
                <w:tab w:val="left" w:pos="2694"/>
              </w:tabs>
              <w:jc w:val="center"/>
              <w:rPr>
                <w:sz w:val="18"/>
                <w:szCs w:val="16"/>
              </w:rPr>
            </w:pPr>
            <w:r>
              <w:rPr>
                <w:sz w:val="18"/>
                <w:szCs w:val="16"/>
              </w:rPr>
              <w:t xml:space="preserve">ал-Муктадир </w:t>
            </w:r>
            <w:r>
              <w:rPr>
                <w:sz w:val="18"/>
                <w:szCs w:val="16"/>
              </w:rPr>
              <w:br/>
              <w:t>Аббсид</w:t>
            </w:r>
          </w:p>
          <w:p w14:paraId="0D240998" w14:textId="77777777" w:rsidR="00CD484C" w:rsidRDefault="00CD484C">
            <w:pPr>
              <w:tabs>
                <w:tab w:val="left" w:pos="567"/>
                <w:tab w:val="left" w:pos="2268"/>
                <w:tab w:val="left" w:pos="2694"/>
              </w:tabs>
              <w:jc w:val="center"/>
              <w:rPr>
                <w:sz w:val="18"/>
                <w:szCs w:val="16"/>
              </w:rPr>
            </w:pPr>
          </w:p>
          <w:p w14:paraId="3A90B282" w14:textId="77777777" w:rsidR="00CD484C" w:rsidRDefault="00CD484C">
            <w:pPr>
              <w:tabs>
                <w:tab w:val="left" w:pos="567"/>
                <w:tab w:val="left" w:pos="2268"/>
                <w:tab w:val="left" w:pos="2694"/>
              </w:tabs>
              <w:jc w:val="center"/>
              <w:rPr>
                <w:sz w:val="18"/>
                <w:szCs w:val="16"/>
              </w:rPr>
            </w:pPr>
            <w:r>
              <w:rPr>
                <w:sz w:val="18"/>
                <w:szCs w:val="16"/>
              </w:rPr>
              <w:t xml:space="preserve">Муфлих </w:t>
            </w:r>
            <w:r>
              <w:rPr>
                <w:sz w:val="18"/>
                <w:szCs w:val="16"/>
              </w:rPr>
              <w:br/>
              <w:t>ал-Юсуфи</w:t>
            </w:r>
          </w:p>
        </w:tc>
        <w:tc>
          <w:tcPr>
            <w:tcW w:w="1124" w:type="dxa"/>
            <w:tcBorders>
              <w:bottom w:val="single" w:sz="12" w:space="0" w:color="000000"/>
            </w:tcBorders>
          </w:tcPr>
          <w:p w14:paraId="5C1CF819" w14:textId="77777777" w:rsidR="00CD484C" w:rsidRDefault="00CD484C">
            <w:pPr>
              <w:tabs>
                <w:tab w:val="left" w:pos="567"/>
                <w:tab w:val="left" w:pos="2268"/>
                <w:tab w:val="left" w:pos="2694"/>
              </w:tabs>
              <w:jc w:val="center"/>
              <w:rPr>
                <w:sz w:val="18"/>
                <w:szCs w:val="16"/>
              </w:rPr>
            </w:pPr>
            <w:r>
              <w:rPr>
                <w:sz w:val="18"/>
                <w:szCs w:val="16"/>
              </w:rPr>
              <w:t>Яз-Кираги</w:t>
            </w:r>
          </w:p>
          <w:p w14:paraId="5E66ACE0" w14:textId="77777777" w:rsidR="00CD484C" w:rsidRDefault="00CD484C">
            <w:pPr>
              <w:tabs>
                <w:tab w:val="left" w:pos="567"/>
                <w:tab w:val="left" w:pos="2268"/>
                <w:tab w:val="left" w:pos="2694"/>
              </w:tabs>
              <w:jc w:val="center"/>
              <w:rPr>
                <w:sz w:val="18"/>
                <w:szCs w:val="16"/>
              </w:rPr>
            </w:pPr>
          </w:p>
          <w:p w14:paraId="2402E664" w14:textId="77777777" w:rsidR="00CD484C" w:rsidRDefault="00CD484C">
            <w:pPr>
              <w:tabs>
                <w:tab w:val="left" w:pos="567"/>
                <w:tab w:val="left" w:pos="2268"/>
                <w:tab w:val="left" w:pos="2694"/>
              </w:tabs>
              <w:jc w:val="center"/>
              <w:rPr>
                <w:sz w:val="18"/>
                <w:szCs w:val="16"/>
              </w:rPr>
            </w:pPr>
          </w:p>
          <w:p w14:paraId="1E4D5C14" w14:textId="77777777" w:rsidR="00CD484C" w:rsidRDefault="00CD484C">
            <w:pPr>
              <w:tabs>
                <w:tab w:val="left" w:pos="567"/>
                <w:tab w:val="left" w:pos="2268"/>
                <w:tab w:val="left" w:pos="2694"/>
              </w:tabs>
              <w:jc w:val="center"/>
              <w:rPr>
                <w:sz w:val="18"/>
                <w:szCs w:val="16"/>
              </w:rPr>
            </w:pPr>
            <w:r>
              <w:rPr>
                <w:sz w:val="18"/>
                <w:szCs w:val="16"/>
              </w:rPr>
              <w:t>Банбаши</w:t>
            </w:r>
          </w:p>
        </w:tc>
        <w:tc>
          <w:tcPr>
            <w:tcW w:w="1736" w:type="dxa"/>
            <w:tcBorders>
              <w:bottom w:val="single" w:sz="12" w:space="0" w:color="000000"/>
            </w:tcBorders>
          </w:tcPr>
          <w:p w14:paraId="18D22543" w14:textId="77777777" w:rsidR="00CD484C" w:rsidRDefault="00CD484C">
            <w:pPr>
              <w:tabs>
                <w:tab w:val="left" w:pos="567"/>
                <w:tab w:val="left" w:pos="2268"/>
                <w:tab w:val="left" w:pos="2694"/>
              </w:tabs>
              <w:ind w:hanging="11"/>
              <w:jc w:val="center"/>
              <w:rPr>
                <w:sz w:val="18"/>
                <w:szCs w:val="16"/>
              </w:rPr>
            </w:pPr>
            <w:r>
              <w:rPr>
                <w:sz w:val="18"/>
                <w:szCs w:val="16"/>
              </w:rPr>
              <w:t>Там же. – С. 46;</w:t>
            </w:r>
          </w:p>
          <w:p w14:paraId="50EC4571" w14:textId="77777777" w:rsidR="00CD484C" w:rsidRDefault="00CD484C">
            <w:pPr>
              <w:tabs>
                <w:tab w:val="left" w:pos="567"/>
                <w:tab w:val="left" w:pos="2268"/>
                <w:tab w:val="left" w:pos="2694"/>
              </w:tabs>
              <w:ind w:hanging="11"/>
              <w:jc w:val="center"/>
              <w:rPr>
                <w:sz w:val="18"/>
                <w:szCs w:val="16"/>
              </w:rPr>
            </w:pPr>
          </w:p>
          <w:p w14:paraId="1330F28B" w14:textId="77777777" w:rsidR="00CD484C" w:rsidRDefault="00CD484C">
            <w:pPr>
              <w:tabs>
                <w:tab w:val="left" w:pos="567"/>
                <w:tab w:val="left" w:pos="2268"/>
                <w:tab w:val="left" w:pos="2694"/>
              </w:tabs>
              <w:ind w:hanging="11"/>
              <w:jc w:val="center"/>
              <w:rPr>
                <w:sz w:val="18"/>
                <w:szCs w:val="16"/>
              </w:rPr>
            </w:pPr>
          </w:p>
          <w:p w14:paraId="57D586F3" w14:textId="77777777" w:rsidR="00CD484C" w:rsidRDefault="00CD484C">
            <w:pPr>
              <w:tabs>
                <w:tab w:val="left" w:pos="567"/>
                <w:tab w:val="left" w:pos="2268"/>
                <w:tab w:val="left" w:pos="2694"/>
              </w:tabs>
              <w:ind w:hanging="11"/>
              <w:jc w:val="center"/>
              <w:rPr>
                <w:sz w:val="18"/>
                <w:szCs w:val="16"/>
              </w:rPr>
            </w:pPr>
            <w:r>
              <w:rPr>
                <w:sz w:val="18"/>
                <w:szCs w:val="16"/>
              </w:rPr>
              <w:t xml:space="preserve">Там же. – </w:t>
            </w:r>
            <w:r>
              <w:rPr>
                <w:sz w:val="18"/>
                <w:szCs w:val="16"/>
              </w:rPr>
              <w:br/>
              <w:t>С. 36, № 40</w:t>
            </w:r>
          </w:p>
        </w:tc>
      </w:tr>
    </w:tbl>
    <w:p w14:paraId="645AAFC3" w14:textId="77777777" w:rsidR="00CD484C" w:rsidRDefault="00CD484C">
      <w:pPr>
        <w:tabs>
          <w:tab w:val="left" w:pos="0"/>
          <w:tab w:val="left" w:pos="2268"/>
          <w:tab w:val="left" w:pos="2694"/>
        </w:tabs>
        <w:ind w:firstLine="397"/>
        <w:jc w:val="both"/>
        <w:rPr>
          <w:sz w:val="20"/>
          <w:szCs w:val="16"/>
        </w:rPr>
      </w:pPr>
    </w:p>
    <w:p w14:paraId="0615B63E" w14:textId="77777777" w:rsidR="00CD484C" w:rsidRDefault="00CD484C">
      <w:pPr>
        <w:tabs>
          <w:tab w:val="left" w:pos="0"/>
          <w:tab w:val="left" w:pos="2268"/>
          <w:tab w:val="left" w:pos="2694"/>
        </w:tabs>
        <w:ind w:firstLine="397"/>
        <w:jc w:val="both"/>
        <w:rPr>
          <w:sz w:val="20"/>
          <w:szCs w:val="16"/>
        </w:rPr>
      </w:pPr>
      <w:r>
        <w:rPr>
          <w:sz w:val="20"/>
          <w:szCs w:val="16"/>
        </w:rPr>
        <w:t>Начало чеканки местного эмира Муфлиха ал-Юсуфи, который был рабом Йусуфа б.Абу ас-Саджа, в последовавшей после смерти Муктадира период, по данным рассмотренных кладов более не возобновлялось</w:t>
      </w:r>
      <w:r>
        <w:rPr>
          <w:rStyle w:val="a6"/>
          <w:sz w:val="20"/>
          <w:szCs w:val="16"/>
        </w:rPr>
        <w:footnoteReference w:customMarkFollows="1" w:id="69"/>
        <w:t>22</w:t>
      </w:r>
      <w:r>
        <w:rPr>
          <w:sz w:val="20"/>
          <w:szCs w:val="16"/>
        </w:rPr>
        <w:t xml:space="preserve">. В </w:t>
      </w:r>
      <w:r>
        <w:rPr>
          <w:sz w:val="20"/>
          <w:szCs w:val="16"/>
        </w:rPr>
        <w:lastRenderedPageBreak/>
        <w:t>целом же, заметим, что походы русов в Южный Прикаспий в 912–913 гг.</w:t>
      </w:r>
      <w:r>
        <w:rPr>
          <w:rStyle w:val="a6"/>
          <w:sz w:val="20"/>
          <w:szCs w:val="16"/>
        </w:rPr>
        <w:footnoteReference w:customMarkFollows="1" w:id="70"/>
        <w:t>23</w:t>
      </w:r>
      <w:r>
        <w:rPr>
          <w:sz w:val="20"/>
          <w:szCs w:val="16"/>
        </w:rPr>
        <w:t xml:space="preserve"> и Берда’а в 944 г., приведшие по мнению В.В. Бартольда утрате лидирующего положения этого города а Арране (Бартольд В.В., 1963б. – С. 778) не сказались ни на местных монетных эмиссиях, ни на  темпе экономической жизни в Закавказье и Северо-Западном Иране.</w:t>
      </w:r>
    </w:p>
    <w:p w14:paraId="09FD194E" w14:textId="77777777" w:rsidR="00CD484C" w:rsidRDefault="00CD484C">
      <w:pPr>
        <w:tabs>
          <w:tab w:val="left" w:pos="567"/>
          <w:tab w:val="left" w:pos="2268"/>
          <w:tab w:val="left" w:pos="2694"/>
        </w:tabs>
        <w:ind w:firstLine="397"/>
        <w:jc w:val="both"/>
        <w:rPr>
          <w:sz w:val="20"/>
          <w:szCs w:val="16"/>
        </w:rPr>
      </w:pPr>
      <w:r>
        <w:rPr>
          <w:sz w:val="20"/>
          <w:szCs w:val="16"/>
        </w:rPr>
        <w:t>Аналогичная картина прослеживается в эмиссионной связке Азербайджан – Ардебиль. /Табл. 6/.</w:t>
      </w:r>
    </w:p>
    <w:p w14:paraId="4DC08254" w14:textId="77777777" w:rsidR="00CD484C" w:rsidRDefault="00CD484C">
      <w:pPr>
        <w:tabs>
          <w:tab w:val="left" w:pos="567"/>
          <w:tab w:val="left" w:pos="2268"/>
          <w:tab w:val="left" w:pos="2694"/>
        </w:tabs>
        <w:ind w:firstLine="397"/>
        <w:jc w:val="both"/>
        <w:rPr>
          <w:i/>
          <w:iCs/>
          <w:sz w:val="20"/>
          <w:szCs w:val="16"/>
        </w:rPr>
      </w:pPr>
    </w:p>
    <w:p w14:paraId="6D54A4CF" w14:textId="77777777" w:rsidR="00CD484C" w:rsidRDefault="00CD484C">
      <w:pPr>
        <w:tabs>
          <w:tab w:val="left" w:pos="567"/>
          <w:tab w:val="left" w:pos="2268"/>
          <w:tab w:val="left" w:pos="2694"/>
        </w:tabs>
        <w:ind w:firstLine="397"/>
        <w:jc w:val="right"/>
        <w:rPr>
          <w:i/>
          <w:iCs/>
          <w:sz w:val="20"/>
          <w:szCs w:val="16"/>
        </w:rPr>
      </w:pPr>
      <w:r>
        <w:rPr>
          <w:i/>
          <w:iCs/>
          <w:sz w:val="20"/>
          <w:szCs w:val="16"/>
        </w:rPr>
        <w:t xml:space="preserve">Таблица 6 </w:t>
      </w:r>
    </w:p>
    <w:p w14:paraId="6343804C" w14:textId="77777777" w:rsidR="00CD484C" w:rsidRDefault="00CD484C">
      <w:pPr>
        <w:pStyle w:val="8"/>
        <w:tabs>
          <w:tab w:val="left" w:pos="567"/>
          <w:tab w:val="left" w:pos="2268"/>
          <w:tab w:val="left" w:pos="2694"/>
        </w:tabs>
        <w:spacing w:after="120"/>
        <w:rPr>
          <w:bCs/>
        </w:rPr>
      </w:pPr>
      <w:r>
        <w:rPr>
          <w:bCs/>
        </w:rPr>
        <w:t>Распределение эмиссионной пары «Азербайджан – Ардебиль»</w:t>
      </w:r>
    </w:p>
    <w:tbl>
      <w:tblPr>
        <w:tblW w:w="6588" w:type="dxa"/>
        <w:jc w:val="center"/>
        <w:tblLayout w:type="fixed"/>
        <w:tblLook w:val="00A0" w:firstRow="1" w:lastRow="0" w:firstColumn="1" w:lastColumn="0" w:noHBand="0" w:noVBand="0"/>
      </w:tblPr>
      <w:tblGrid>
        <w:gridCol w:w="1188"/>
        <w:gridCol w:w="900"/>
        <w:gridCol w:w="1440"/>
        <w:gridCol w:w="1063"/>
        <w:gridCol w:w="1997"/>
      </w:tblGrid>
      <w:tr w:rsidR="00CD484C" w14:paraId="006C3F91" w14:textId="77777777">
        <w:trPr>
          <w:trHeight w:val="248"/>
          <w:jc w:val="center"/>
        </w:trPr>
        <w:tc>
          <w:tcPr>
            <w:tcW w:w="1188" w:type="dxa"/>
            <w:tcBorders>
              <w:top w:val="single" w:sz="12" w:space="0" w:color="000000"/>
              <w:bottom w:val="single" w:sz="6" w:space="0" w:color="000000"/>
              <w:right w:val="single" w:sz="6" w:space="0" w:color="000000"/>
            </w:tcBorders>
            <w:vAlign w:val="center"/>
          </w:tcPr>
          <w:p w14:paraId="2F9DE16A" w14:textId="77777777" w:rsidR="00CD484C" w:rsidRDefault="00CD484C">
            <w:pPr>
              <w:tabs>
                <w:tab w:val="left" w:pos="567"/>
                <w:tab w:val="left" w:pos="2268"/>
                <w:tab w:val="left" w:pos="2694"/>
              </w:tabs>
              <w:jc w:val="center"/>
              <w:rPr>
                <w:i/>
                <w:sz w:val="16"/>
                <w:szCs w:val="16"/>
              </w:rPr>
            </w:pPr>
            <w:r>
              <w:rPr>
                <w:i/>
                <w:sz w:val="16"/>
                <w:szCs w:val="16"/>
              </w:rPr>
              <w:t>М/двор</w:t>
            </w:r>
          </w:p>
        </w:tc>
        <w:tc>
          <w:tcPr>
            <w:tcW w:w="900" w:type="dxa"/>
            <w:tcBorders>
              <w:top w:val="single" w:sz="12" w:space="0" w:color="000000"/>
              <w:left w:val="nil"/>
              <w:bottom w:val="single" w:sz="6" w:space="0" w:color="000000"/>
            </w:tcBorders>
            <w:vAlign w:val="center"/>
          </w:tcPr>
          <w:p w14:paraId="56DD785F" w14:textId="77777777" w:rsidR="00CD484C" w:rsidRDefault="00CD484C">
            <w:pPr>
              <w:tabs>
                <w:tab w:val="left" w:pos="567"/>
                <w:tab w:val="left" w:pos="2268"/>
                <w:tab w:val="left" w:pos="2694"/>
              </w:tabs>
              <w:jc w:val="center"/>
              <w:rPr>
                <w:i/>
                <w:sz w:val="16"/>
                <w:szCs w:val="16"/>
              </w:rPr>
            </w:pPr>
            <w:r>
              <w:rPr>
                <w:i/>
                <w:sz w:val="16"/>
                <w:szCs w:val="16"/>
              </w:rPr>
              <w:t>Дата</w:t>
            </w:r>
          </w:p>
        </w:tc>
        <w:tc>
          <w:tcPr>
            <w:tcW w:w="1440" w:type="dxa"/>
            <w:tcBorders>
              <w:top w:val="single" w:sz="12" w:space="0" w:color="000000"/>
              <w:bottom w:val="single" w:sz="6" w:space="0" w:color="000000"/>
            </w:tcBorders>
            <w:vAlign w:val="center"/>
          </w:tcPr>
          <w:p w14:paraId="095FBEB0" w14:textId="77777777" w:rsidR="00CD484C" w:rsidRDefault="00CD484C">
            <w:pPr>
              <w:tabs>
                <w:tab w:val="left" w:pos="567"/>
                <w:tab w:val="left" w:pos="2268"/>
                <w:tab w:val="left" w:pos="2694"/>
              </w:tabs>
              <w:jc w:val="center"/>
              <w:rPr>
                <w:i/>
                <w:sz w:val="16"/>
                <w:szCs w:val="16"/>
              </w:rPr>
            </w:pPr>
            <w:r>
              <w:rPr>
                <w:i/>
                <w:sz w:val="16"/>
                <w:szCs w:val="16"/>
              </w:rPr>
              <w:t>Имя эмитента</w:t>
            </w:r>
          </w:p>
        </w:tc>
        <w:tc>
          <w:tcPr>
            <w:tcW w:w="1063" w:type="dxa"/>
            <w:tcBorders>
              <w:top w:val="single" w:sz="12" w:space="0" w:color="000000"/>
              <w:bottom w:val="single" w:sz="6" w:space="0" w:color="000000"/>
            </w:tcBorders>
            <w:vAlign w:val="center"/>
          </w:tcPr>
          <w:p w14:paraId="3923282D" w14:textId="77777777" w:rsidR="00CD484C" w:rsidRDefault="00CD484C">
            <w:pPr>
              <w:tabs>
                <w:tab w:val="left" w:pos="567"/>
                <w:tab w:val="left" w:pos="2268"/>
                <w:tab w:val="left" w:pos="2694"/>
              </w:tabs>
              <w:jc w:val="center"/>
              <w:rPr>
                <w:i/>
                <w:sz w:val="16"/>
                <w:szCs w:val="16"/>
              </w:rPr>
            </w:pPr>
            <w:r>
              <w:rPr>
                <w:i/>
                <w:sz w:val="16"/>
                <w:szCs w:val="16"/>
              </w:rPr>
              <w:t>Клад</w:t>
            </w:r>
          </w:p>
        </w:tc>
        <w:tc>
          <w:tcPr>
            <w:tcW w:w="1997" w:type="dxa"/>
            <w:tcBorders>
              <w:top w:val="single" w:sz="12" w:space="0" w:color="000000"/>
              <w:bottom w:val="single" w:sz="6" w:space="0" w:color="000000"/>
            </w:tcBorders>
            <w:vAlign w:val="center"/>
          </w:tcPr>
          <w:p w14:paraId="14C90FB5" w14:textId="77777777" w:rsidR="00CD484C" w:rsidRDefault="00CD484C">
            <w:pPr>
              <w:tabs>
                <w:tab w:val="left" w:pos="567"/>
                <w:tab w:val="left" w:pos="2268"/>
                <w:tab w:val="left" w:pos="2694"/>
              </w:tabs>
              <w:jc w:val="center"/>
              <w:rPr>
                <w:i/>
                <w:sz w:val="16"/>
                <w:szCs w:val="16"/>
              </w:rPr>
            </w:pPr>
            <w:r>
              <w:rPr>
                <w:i/>
                <w:sz w:val="16"/>
                <w:szCs w:val="16"/>
              </w:rPr>
              <w:t>Примечание</w:t>
            </w:r>
          </w:p>
        </w:tc>
      </w:tr>
      <w:tr w:rsidR="00CD484C" w14:paraId="2EE5AEF0" w14:textId="77777777">
        <w:trPr>
          <w:jc w:val="center"/>
        </w:trPr>
        <w:tc>
          <w:tcPr>
            <w:tcW w:w="1188" w:type="dxa"/>
            <w:tcBorders>
              <w:right w:val="single" w:sz="6" w:space="0" w:color="000000"/>
            </w:tcBorders>
          </w:tcPr>
          <w:p w14:paraId="53CF429D" w14:textId="77777777" w:rsidR="00CD484C" w:rsidRDefault="00CD484C">
            <w:pPr>
              <w:tabs>
                <w:tab w:val="left" w:pos="567"/>
                <w:tab w:val="left" w:pos="2268"/>
                <w:tab w:val="left" w:pos="2694"/>
              </w:tabs>
              <w:jc w:val="both"/>
              <w:rPr>
                <w:sz w:val="16"/>
                <w:szCs w:val="16"/>
              </w:rPr>
            </w:pPr>
            <w:r>
              <w:rPr>
                <w:sz w:val="16"/>
                <w:szCs w:val="16"/>
              </w:rPr>
              <w:t>Азербайджан</w:t>
            </w:r>
          </w:p>
        </w:tc>
        <w:tc>
          <w:tcPr>
            <w:tcW w:w="900" w:type="dxa"/>
            <w:tcBorders>
              <w:left w:val="nil"/>
            </w:tcBorders>
          </w:tcPr>
          <w:p w14:paraId="513B6FEE" w14:textId="77777777" w:rsidR="00CD484C" w:rsidRDefault="00CD484C">
            <w:pPr>
              <w:tabs>
                <w:tab w:val="left" w:pos="567"/>
                <w:tab w:val="left" w:pos="2268"/>
                <w:tab w:val="left" w:pos="2694"/>
              </w:tabs>
              <w:jc w:val="center"/>
              <w:rPr>
                <w:sz w:val="16"/>
                <w:szCs w:val="16"/>
              </w:rPr>
            </w:pPr>
            <w:r>
              <w:rPr>
                <w:sz w:val="16"/>
                <w:szCs w:val="16"/>
              </w:rPr>
              <w:t>329</w:t>
            </w:r>
          </w:p>
          <w:p w14:paraId="7041DC2B" w14:textId="77777777" w:rsidR="00CD484C" w:rsidRDefault="00CD484C">
            <w:pPr>
              <w:tabs>
                <w:tab w:val="left" w:pos="567"/>
                <w:tab w:val="left" w:pos="2268"/>
                <w:tab w:val="left" w:pos="2694"/>
              </w:tabs>
              <w:jc w:val="center"/>
              <w:rPr>
                <w:sz w:val="16"/>
                <w:szCs w:val="16"/>
              </w:rPr>
            </w:pPr>
          </w:p>
          <w:p w14:paraId="29A84E3D" w14:textId="77777777" w:rsidR="00CD484C" w:rsidRDefault="00CD484C">
            <w:pPr>
              <w:tabs>
                <w:tab w:val="left" w:pos="567"/>
                <w:tab w:val="left" w:pos="2268"/>
                <w:tab w:val="left" w:pos="2694"/>
              </w:tabs>
              <w:jc w:val="center"/>
              <w:rPr>
                <w:sz w:val="16"/>
                <w:szCs w:val="16"/>
              </w:rPr>
            </w:pPr>
            <w:r>
              <w:rPr>
                <w:sz w:val="16"/>
                <w:szCs w:val="16"/>
              </w:rPr>
              <w:t>341(2экз.)</w:t>
            </w:r>
          </w:p>
          <w:p w14:paraId="38CE544D" w14:textId="77777777" w:rsidR="00CD484C" w:rsidRDefault="00CD484C">
            <w:pPr>
              <w:tabs>
                <w:tab w:val="left" w:pos="567"/>
                <w:tab w:val="left" w:pos="2268"/>
                <w:tab w:val="left" w:pos="2694"/>
              </w:tabs>
              <w:jc w:val="center"/>
              <w:rPr>
                <w:sz w:val="16"/>
                <w:szCs w:val="16"/>
              </w:rPr>
            </w:pPr>
          </w:p>
          <w:p w14:paraId="5E84D527" w14:textId="77777777" w:rsidR="00CD484C" w:rsidRDefault="00CD484C">
            <w:pPr>
              <w:tabs>
                <w:tab w:val="left" w:pos="567"/>
                <w:tab w:val="left" w:pos="2268"/>
                <w:tab w:val="left" w:pos="2694"/>
              </w:tabs>
              <w:jc w:val="center"/>
              <w:rPr>
                <w:sz w:val="16"/>
                <w:szCs w:val="16"/>
              </w:rPr>
            </w:pPr>
          </w:p>
          <w:p w14:paraId="28F22870" w14:textId="77777777" w:rsidR="00CD484C" w:rsidRDefault="00CD484C">
            <w:pPr>
              <w:tabs>
                <w:tab w:val="left" w:pos="567"/>
                <w:tab w:val="left" w:pos="2268"/>
                <w:tab w:val="left" w:pos="2694"/>
              </w:tabs>
              <w:jc w:val="center"/>
              <w:rPr>
                <w:spacing w:val="-2"/>
                <w:sz w:val="16"/>
                <w:szCs w:val="16"/>
              </w:rPr>
            </w:pPr>
            <w:r>
              <w:rPr>
                <w:spacing w:val="-2"/>
                <w:sz w:val="16"/>
                <w:szCs w:val="16"/>
              </w:rPr>
              <w:t>341(2экз.)</w:t>
            </w:r>
          </w:p>
          <w:p w14:paraId="6D062069" w14:textId="77777777" w:rsidR="00CD484C" w:rsidRDefault="00CD484C">
            <w:pPr>
              <w:tabs>
                <w:tab w:val="left" w:pos="567"/>
                <w:tab w:val="left" w:pos="2268"/>
                <w:tab w:val="left" w:pos="2694"/>
              </w:tabs>
              <w:jc w:val="center"/>
              <w:rPr>
                <w:sz w:val="16"/>
                <w:szCs w:val="16"/>
              </w:rPr>
            </w:pPr>
          </w:p>
          <w:p w14:paraId="1F16402D" w14:textId="77777777" w:rsidR="00CD484C" w:rsidRDefault="00CD484C">
            <w:pPr>
              <w:tabs>
                <w:tab w:val="left" w:pos="567"/>
                <w:tab w:val="left" w:pos="2268"/>
                <w:tab w:val="left" w:pos="2694"/>
              </w:tabs>
              <w:jc w:val="center"/>
              <w:rPr>
                <w:sz w:val="16"/>
                <w:szCs w:val="16"/>
              </w:rPr>
            </w:pPr>
          </w:p>
          <w:p w14:paraId="33A8C4B5" w14:textId="77777777" w:rsidR="00CD484C" w:rsidRDefault="00CD484C">
            <w:pPr>
              <w:tabs>
                <w:tab w:val="left" w:pos="567"/>
                <w:tab w:val="left" w:pos="2268"/>
                <w:tab w:val="left" w:pos="2694"/>
              </w:tabs>
              <w:jc w:val="center"/>
              <w:rPr>
                <w:sz w:val="16"/>
                <w:szCs w:val="16"/>
              </w:rPr>
            </w:pPr>
            <w:r>
              <w:rPr>
                <w:sz w:val="16"/>
                <w:szCs w:val="16"/>
              </w:rPr>
              <w:t>341</w:t>
            </w:r>
          </w:p>
        </w:tc>
        <w:tc>
          <w:tcPr>
            <w:tcW w:w="1440" w:type="dxa"/>
          </w:tcPr>
          <w:p w14:paraId="6C8F1CBB" w14:textId="77777777" w:rsidR="00CD484C" w:rsidRDefault="00CD484C">
            <w:pPr>
              <w:tabs>
                <w:tab w:val="left" w:pos="567"/>
                <w:tab w:val="left" w:pos="2268"/>
                <w:tab w:val="left" w:pos="2694"/>
              </w:tabs>
              <w:jc w:val="center"/>
              <w:rPr>
                <w:sz w:val="16"/>
                <w:szCs w:val="16"/>
              </w:rPr>
            </w:pPr>
            <w:r>
              <w:rPr>
                <w:sz w:val="16"/>
                <w:szCs w:val="16"/>
              </w:rPr>
              <w:t>Дайсам</w:t>
            </w:r>
          </w:p>
          <w:p w14:paraId="494E2EFD" w14:textId="77777777" w:rsidR="00CD484C" w:rsidRDefault="00CD484C">
            <w:pPr>
              <w:tabs>
                <w:tab w:val="left" w:pos="567"/>
                <w:tab w:val="left" w:pos="2268"/>
                <w:tab w:val="left" w:pos="2694"/>
              </w:tabs>
              <w:jc w:val="center"/>
              <w:rPr>
                <w:sz w:val="16"/>
                <w:szCs w:val="16"/>
              </w:rPr>
            </w:pPr>
            <w:r>
              <w:rPr>
                <w:sz w:val="16"/>
                <w:szCs w:val="16"/>
              </w:rPr>
              <w:t>б.Ибрахим</w:t>
            </w:r>
          </w:p>
          <w:p w14:paraId="576D7FE4" w14:textId="77777777" w:rsidR="00CD484C" w:rsidRDefault="00CD484C">
            <w:pPr>
              <w:tabs>
                <w:tab w:val="left" w:pos="567"/>
                <w:tab w:val="left" w:pos="2268"/>
                <w:tab w:val="left" w:pos="2694"/>
              </w:tabs>
              <w:jc w:val="center"/>
              <w:rPr>
                <w:sz w:val="16"/>
                <w:szCs w:val="16"/>
              </w:rPr>
            </w:pPr>
            <w:r>
              <w:rPr>
                <w:sz w:val="16"/>
                <w:szCs w:val="16"/>
              </w:rPr>
              <w:t>Он же.</w:t>
            </w:r>
          </w:p>
          <w:p w14:paraId="1ED041D2" w14:textId="77777777" w:rsidR="00CD484C" w:rsidRDefault="00CD484C">
            <w:pPr>
              <w:tabs>
                <w:tab w:val="left" w:pos="567"/>
                <w:tab w:val="left" w:pos="2268"/>
                <w:tab w:val="left" w:pos="2694"/>
              </w:tabs>
              <w:jc w:val="center"/>
              <w:rPr>
                <w:sz w:val="16"/>
                <w:szCs w:val="16"/>
              </w:rPr>
            </w:pPr>
          </w:p>
          <w:p w14:paraId="3679CFA9" w14:textId="77777777" w:rsidR="00CD484C" w:rsidRDefault="00CD484C">
            <w:pPr>
              <w:tabs>
                <w:tab w:val="left" w:pos="567"/>
                <w:tab w:val="left" w:pos="2268"/>
                <w:tab w:val="left" w:pos="2694"/>
              </w:tabs>
              <w:jc w:val="center"/>
              <w:rPr>
                <w:sz w:val="16"/>
                <w:szCs w:val="16"/>
              </w:rPr>
            </w:pPr>
          </w:p>
          <w:p w14:paraId="7A204CF9" w14:textId="77777777" w:rsidR="00CD484C" w:rsidRDefault="00CD484C">
            <w:pPr>
              <w:tabs>
                <w:tab w:val="left" w:pos="567"/>
                <w:tab w:val="left" w:pos="2268"/>
                <w:tab w:val="left" w:pos="2694"/>
              </w:tabs>
              <w:jc w:val="center"/>
              <w:rPr>
                <w:sz w:val="16"/>
                <w:szCs w:val="16"/>
              </w:rPr>
            </w:pPr>
            <w:r>
              <w:rPr>
                <w:sz w:val="16"/>
                <w:szCs w:val="16"/>
              </w:rPr>
              <w:t>Он же</w:t>
            </w:r>
          </w:p>
          <w:p w14:paraId="4435F0B5" w14:textId="77777777" w:rsidR="00CD484C" w:rsidRDefault="00CD484C">
            <w:pPr>
              <w:tabs>
                <w:tab w:val="left" w:pos="567"/>
                <w:tab w:val="left" w:pos="2268"/>
                <w:tab w:val="left" w:pos="2694"/>
              </w:tabs>
              <w:jc w:val="center"/>
              <w:rPr>
                <w:sz w:val="16"/>
                <w:szCs w:val="16"/>
              </w:rPr>
            </w:pPr>
          </w:p>
          <w:p w14:paraId="64601A28" w14:textId="77777777" w:rsidR="00CD484C" w:rsidRDefault="00CD484C">
            <w:pPr>
              <w:tabs>
                <w:tab w:val="left" w:pos="567"/>
                <w:tab w:val="left" w:pos="2268"/>
                <w:tab w:val="left" w:pos="2694"/>
              </w:tabs>
              <w:jc w:val="center"/>
              <w:rPr>
                <w:sz w:val="16"/>
                <w:szCs w:val="16"/>
              </w:rPr>
            </w:pPr>
          </w:p>
          <w:p w14:paraId="55D85888" w14:textId="77777777" w:rsidR="00CD484C" w:rsidRDefault="00CD484C">
            <w:pPr>
              <w:tabs>
                <w:tab w:val="left" w:pos="567"/>
                <w:tab w:val="left" w:pos="2268"/>
                <w:tab w:val="left" w:pos="2694"/>
              </w:tabs>
              <w:jc w:val="center"/>
              <w:rPr>
                <w:sz w:val="16"/>
                <w:szCs w:val="16"/>
              </w:rPr>
            </w:pPr>
            <w:r>
              <w:rPr>
                <w:sz w:val="16"/>
                <w:szCs w:val="16"/>
              </w:rPr>
              <w:t>Ал-Мазрубан б.Мухаммед</w:t>
            </w:r>
          </w:p>
        </w:tc>
        <w:tc>
          <w:tcPr>
            <w:tcW w:w="1063" w:type="dxa"/>
          </w:tcPr>
          <w:p w14:paraId="67C937BD" w14:textId="77777777" w:rsidR="00CD484C" w:rsidRDefault="00CD484C">
            <w:pPr>
              <w:tabs>
                <w:tab w:val="left" w:pos="567"/>
                <w:tab w:val="left" w:pos="2268"/>
                <w:tab w:val="left" w:pos="2694"/>
              </w:tabs>
              <w:jc w:val="center"/>
              <w:rPr>
                <w:sz w:val="16"/>
                <w:szCs w:val="16"/>
              </w:rPr>
            </w:pPr>
            <w:r>
              <w:rPr>
                <w:sz w:val="16"/>
                <w:szCs w:val="16"/>
              </w:rPr>
              <w:t>Яз-Кираги.</w:t>
            </w:r>
          </w:p>
          <w:p w14:paraId="2D6C41CD" w14:textId="77777777" w:rsidR="00CD484C" w:rsidRDefault="00CD484C">
            <w:pPr>
              <w:tabs>
                <w:tab w:val="left" w:pos="567"/>
                <w:tab w:val="left" w:pos="2268"/>
                <w:tab w:val="left" w:pos="2694"/>
              </w:tabs>
              <w:jc w:val="center"/>
              <w:rPr>
                <w:sz w:val="16"/>
                <w:szCs w:val="16"/>
              </w:rPr>
            </w:pPr>
            <w:r>
              <w:rPr>
                <w:sz w:val="16"/>
                <w:szCs w:val="16"/>
              </w:rPr>
              <w:t>Банбаши</w:t>
            </w:r>
          </w:p>
          <w:p w14:paraId="2D251DC8" w14:textId="77777777" w:rsidR="00CD484C" w:rsidRDefault="00CD484C">
            <w:pPr>
              <w:tabs>
                <w:tab w:val="left" w:pos="567"/>
                <w:tab w:val="left" w:pos="2268"/>
                <w:tab w:val="left" w:pos="2694"/>
              </w:tabs>
              <w:jc w:val="center"/>
              <w:rPr>
                <w:sz w:val="16"/>
                <w:szCs w:val="16"/>
              </w:rPr>
            </w:pPr>
          </w:p>
          <w:p w14:paraId="03F44000" w14:textId="77777777" w:rsidR="00CD484C" w:rsidRDefault="00CD484C">
            <w:pPr>
              <w:tabs>
                <w:tab w:val="left" w:pos="567"/>
                <w:tab w:val="left" w:pos="2268"/>
                <w:tab w:val="left" w:pos="2694"/>
              </w:tabs>
              <w:jc w:val="center"/>
              <w:rPr>
                <w:sz w:val="16"/>
                <w:szCs w:val="16"/>
              </w:rPr>
            </w:pPr>
          </w:p>
          <w:p w14:paraId="4C47F845" w14:textId="77777777" w:rsidR="00CD484C" w:rsidRDefault="00CD484C">
            <w:pPr>
              <w:tabs>
                <w:tab w:val="left" w:pos="567"/>
                <w:tab w:val="left" w:pos="2268"/>
                <w:tab w:val="left" w:pos="2694"/>
              </w:tabs>
              <w:jc w:val="center"/>
              <w:rPr>
                <w:sz w:val="16"/>
                <w:szCs w:val="16"/>
              </w:rPr>
            </w:pPr>
          </w:p>
          <w:p w14:paraId="000C58B8" w14:textId="77777777" w:rsidR="00CD484C" w:rsidRDefault="00CD484C">
            <w:pPr>
              <w:tabs>
                <w:tab w:val="left" w:pos="567"/>
                <w:tab w:val="left" w:pos="2268"/>
                <w:tab w:val="left" w:pos="2694"/>
              </w:tabs>
              <w:jc w:val="center"/>
              <w:rPr>
                <w:sz w:val="16"/>
                <w:szCs w:val="16"/>
              </w:rPr>
            </w:pPr>
            <w:r>
              <w:rPr>
                <w:sz w:val="16"/>
                <w:szCs w:val="16"/>
              </w:rPr>
              <w:t>Яз-Кираги.</w:t>
            </w:r>
          </w:p>
          <w:p w14:paraId="74B442AA" w14:textId="77777777" w:rsidR="00CD484C" w:rsidRDefault="00CD484C">
            <w:pPr>
              <w:tabs>
                <w:tab w:val="left" w:pos="567"/>
                <w:tab w:val="left" w:pos="2268"/>
                <w:tab w:val="left" w:pos="2694"/>
              </w:tabs>
              <w:jc w:val="center"/>
              <w:rPr>
                <w:sz w:val="16"/>
                <w:szCs w:val="16"/>
              </w:rPr>
            </w:pPr>
          </w:p>
          <w:p w14:paraId="426E59F6" w14:textId="77777777" w:rsidR="00CD484C" w:rsidRDefault="00CD484C">
            <w:pPr>
              <w:tabs>
                <w:tab w:val="left" w:pos="567"/>
                <w:tab w:val="left" w:pos="2268"/>
                <w:tab w:val="left" w:pos="2694"/>
              </w:tabs>
              <w:jc w:val="center"/>
              <w:rPr>
                <w:sz w:val="16"/>
                <w:szCs w:val="16"/>
              </w:rPr>
            </w:pPr>
            <w:r>
              <w:rPr>
                <w:sz w:val="16"/>
                <w:szCs w:val="16"/>
              </w:rPr>
              <w:t>Там же</w:t>
            </w:r>
          </w:p>
        </w:tc>
        <w:tc>
          <w:tcPr>
            <w:tcW w:w="1997" w:type="dxa"/>
          </w:tcPr>
          <w:p w14:paraId="1E7E10B4" w14:textId="77777777" w:rsidR="00CD484C" w:rsidRDefault="00CD484C">
            <w:pPr>
              <w:tabs>
                <w:tab w:val="left" w:pos="567"/>
                <w:tab w:val="left" w:pos="2268"/>
                <w:tab w:val="left" w:pos="2694"/>
              </w:tabs>
              <w:jc w:val="center"/>
              <w:rPr>
                <w:sz w:val="16"/>
                <w:szCs w:val="16"/>
              </w:rPr>
            </w:pPr>
            <w:r>
              <w:rPr>
                <w:sz w:val="16"/>
                <w:szCs w:val="16"/>
              </w:rPr>
              <w:t>Пахомов, 1966. – С. 56.</w:t>
            </w:r>
          </w:p>
          <w:p w14:paraId="6553972A" w14:textId="77777777" w:rsidR="00CD484C" w:rsidRDefault="00CD484C">
            <w:pPr>
              <w:tabs>
                <w:tab w:val="left" w:pos="567"/>
                <w:tab w:val="left" w:pos="2268"/>
                <w:tab w:val="left" w:pos="2694"/>
              </w:tabs>
              <w:jc w:val="center"/>
              <w:rPr>
                <w:sz w:val="16"/>
                <w:szCs w:val="16"/>
              </w:rPr>
            </w:pPr>
          </w:p>
          <w:p w14:paraId="52DB14ED" w14:textId="77777777" w:rsidR="00CD484C" w:rsidRDefault="00CD484C">
            <w:pPr>
              <w:tabs>
                <w:tab w:val="left" w:pos="567"/>
                <w:tab w:val="left" w:pos="2268"/>
                <w:tab w:val="left" w:pos="2694"/>
              </w:tabs>
              <w:jc w:val="center"/>
              <w:rPr>
                <w:sz w:val="16"/>
                <w:szCs w:val="16"/>
              </w:rPr>
            </w:pPr>
            <w:r>
              <w:rPr>
                <w:sz w:val="16"/>
                <w:szCs w:val="16"/>
              </w:rPr>
              <w:t>Там же. –</w:t>
            </w:r>
          </w:p>
          <w:p w14:paraId="39BEACCD" w14:textId="77777777" w:rsidR="00CD484C" w:rsidRDefault="00CD484C">
            <w:pPr>
              <w:tabs>
                <w:tab w:val="left" w:pos="567"/>
                <w:tab w:val="left" w:pos="2268"/>
                <w:tab w:val="left" w:pos="2694"/>
              </w:tabs>
              <w:jc w:val="center"/>
              <w:rPr>
                <w:sz w:val="16"/>
                <w:szCs w:val="16"/>
              </w:rPr>
            </w:pPr>
            <w:r>
              <w:rPr>
                <w:sz w:val="16"/>
                <w:szCs w:val="16"/>
              </w:rPr>
              <w:t xml:space="preserve">С. 36. .№ 41–42. </w:t>
            </w:r>
          </w:p>
          <w:p w14:paraId="62F8131B" w14:textId="77777777" w:rsidR="00CD484C" w:rsidRDefault="00CD484C">
            <w:pPr>
              <w:tabs>
                <w:tab w:val="left" w:pos="567"/>
                <w:tab w:val="left" w:pos="2268"/>
                <w:tab w:val="left" w:pos="2694"/>
              </w:tabs>
              <w:jc w:val="center"/>
              <w:rPr>
                <w:spacing w:val="-4"/>
                <w:sz w:val="16"/>
                <w:szCs w:val="16"/>
              </w:rPr>
            </w:pPr>
          </w:p>
          <w:p w14:paraId="6201DC75" w14:textId="77777777" w:rsidR="00CD484C" w:rsidRDefault="00CD484C">
            <w:pPr>
              <w:tabs>
                <w:tab w:val="left" w:pos="567"/>
                <w:tab w:val="left" w:pos="2268"/>
                <w:tab w:val="left" w:pos="2694"/>
              </w:tabs>
              <w:jc w:val="center"/>
              <w:rPr>
                <w:spacing w:val="-4"/>
                <w:sz w:val="16"/>
                <w:szCs w:val="16"/>
              </w:rPr>
            </w:pPr>
            <w:r>
              <w:rPr>
                <w:spacing w:val="-4"/>
                <w:sz w:val="16"/>
                <w:szCs w:val="16"/>
              </w:rPr>
              <w:t>Об.ст.отчек.ст.щтемпелем</w:t>
            </w:r>
          </w:p>
          <w:p w14:paraId="7C7352AF" w14:textId="77777777" w:rsidR="00CD484C" w:rsidRDefault="00CD484C">
            <w:pPr>
              <w:tabs>
                <w:tab w:val="left" w:pos="567"/>
                <w:tab w:val="left" w:pos="2268"/>
                <w:tab w:val="left" w:pos="2694"/>
              </w:tabs>
              <w:jc w:val="center"/>
              <w:rPr>
                <w:sz w:val="16"/>
                <w:szCs w:val="16"/>
              </w:rPr>
            </w:pPr>
            <w:r>
              <w:rPr>
                <w:sz w:val="16"/>
                <w:szCs w:val="16"/>
              </w:rPr>
              <w:t xml:space="preserve">с именем халифа  </w:t>
            </w:r>
            <w:r>
              <w:rPr>
                <w:sz w:val="16"/>
                <w:szCs w:val="16"/>
              </w:rPr>
              <w:br/>
              <w:t>Мутасима.</w:t>
            </w:r>
          </w:p>
          <w:p w14:paraId="6F381023" w14:textId="77777777" w:rsidR="00CD484C" w:rsidRDefault="00CD484C">
            <w:pPr>
              <w:tabs>
                <w:tab w:val="left" w:pos="567"/>
                <w:tab w:val="left" w:pos="2268"/>
                <w:tab w:val="left" w:pos="2694"/>
              </w:tabs>
              <w:jc w:val="center"/>
              <w:rPr>
                <w:sz w:val="16"/>
                <w:szCs w:val="16"/>
              </w:rPr>
            </w:pPr>
            <w:r>
              <w:rPr>
                <w:sz w:val="16"/>
                <w:szCs w:val="16"/>
              </w:rPr>
              <w:t xml:space="preserve">Там же. – С. 56. </w:t>
            </w:r>
            <w:r>
              <w:rPr>
                <w:sz w:val="16"/>
                <w:szCs w:val="16"/>
              </w:rPr>
              <w:br/>
              <w:t>с халифом Мути.</w:t>
            </w:r>
          </w:p>
          <w:p w14:paraId="54D005A0" w14:textId="77777777" w:rsidR="00CD484C" w:rsidRDefault="00CD484C">
            <w:pPr>
              <w:tabs>
                <w:tab w:val="left" w:pos="567"/>
                <w:tab w:val="left" w:pos="2268"/>
                <w:tab w:val="left" w:pos="2694"/>
              </w:tabs>
              <w:jc w:val="center"/>
              <w:rPr>
                <w:sz w:val="16"/>
                <w:szCs w:val="16"/>
              </w:rPr>
            </w:pPr>
          </w:p>
          <w:p w14:paraId="4B74AF27" w14:textId="77777777" w:rsidR="00CD484C" w:rsidRDefault="00CD484C">
            <w:pPr>
              <w:tabs>
                <w:tab w:val="left" w:pos="567"/>
                <w:tab w:val="left" w:pos="2268"/>
                <w:tab w:val="left" w:pos="2694"/>
              </w:tabs>
              <w:jc w:val="center"/>
              <w:rPr>
                <w:sz w:val="16"/>
                <w:szCs w:val="16"/>
              </w:rPr>
            </w:pPr>
            <w:r>
              <w:rPr>
                <w:sz w:val="16"/>
                <w:szCs w:val="16"/>
              </w:rPr>
              <w:t>Там же, с халифом Мути</w:t>
            </w:r>
          </w:p>
          <w:p w14:paraId="567057D0" w14:textId="77777777" w:rsidR="00CD484C" w:rsidRDefault="00CD484C">
            <w:pPr>
              <w:tabs>
                <w:tab w:val="left" w:pos="567"/>
                <w:tab w:val="left" w:pos="2268"/>
                <w:tab w:val="left" w:pos="2694"/>
              </w:tabs>
              <w:jc w:val="center"/>
              <w:rPr>
                <w:sz w:val="16"/>
                <w:szCs w:val="16"/>
              </w:rPr>
            </w:pPr>
            <w:r>
              <w:rPr>
                <w:sz w:val="16"/>
                <w:szCs w:val="16"/>
              </w:rPr>
              <w:t>(Саларид).</w:t>
            </w:r>
          </w:p>
        </w:tc>
      </w:tr>
      <w:tr w:rsidR="00CD484C" w14:paraId="56FA29D8" w14:textId="77777777">
        <w:trPr>
          <w:jc w:val="center"/>
        </w:trPr>
        <w:tc>
          <w:tcPr>
            <w:tcW w:w="1188" w:type="dxa"/>
            <w:tcBorders>
              <w:bottom w:val="single" w:sz="12" w:space="0" w:color="000000"/>
              <w:right w:val="single" w:sz="6" w:space="0" w:color="000000"/>
            </w:tcBorders>
          </w:tcPr>
          <w:p w14:paraId="3C750800" w14:textId="77777777" w:rsidR="00CD484C" w:rsidRDefault="00CD484C">
            <w:pPr>
              <w:tabs>
                <w:tab w:val="left" w:pos="567"/>
                <w:tab w:val="left" w:pos="2268"/>
                <w:tab w:val="left" w:pos="2694"/>
              </w:tabs>
              <w:jc w:val="both"/>
              <w:rPr>
                <w:sz w:val="16"/>
                <w:szCs w:val="16"/>
              </w:rPr>
            </w:pPr>
            <w:r>
              <w:rPr>
                <w:sz w:val="16"/>
                <w:szCs w:val="16"/>
              </w:rPr>
              <w:t>Ардебиль</w:t>
            </w:r>
          </w:p>
        </w:tc>
        <w:tc>
          <w:tcPr>
            <w:tcW w:w="900" w:type="dxa"/>
            <w:tcBorders>
              <w:left w:val="nil"/>
              <w:bottom w:val="single" w:sz="12" w:space="0" w:color="000000"/>
            </w:tcBorders>
          </w:tcPr>
          <w:p w14:paraId="70C0C788" w14:textId="77777777" w:rsidR="00CD484C" w:rsidRDefault="00CD484C">
            <w:pPr>
              <w:tabs>
                <w:tab w:val="left" w:pos="567"/>
                <w:tab w:val="left" w:pos="2268"/>
                <w:tab w:val="left" w:pos="2694"/>
              </w:tabs>
              <w:jc w:val="center"/>
              <w:rPr>
                <w:sz w:val="16"/>
                <w:szCs w:val="16"/>
              </w:rPr>
            </w:pPr>
            <w:r>
              <w:rPr>
                <w:sz w:val="16"/>
                <w:szCs w:val="16"/>
              </w:rPr>
              <w:t>324</w:t>
            </w:r>
          </w:p>
          <w:p w14:paraId="2EB39CF3" w14:textId="77777777" w:rsidR="00CD484C" w:rsidRDefault="00CD484C">
            <w:pPr>
              <w:tabs>
                <w:tab w:val="left" w:pos="567"/>
                <w:tab w:val="left" w:pos="2268"/>
                <w:tab w:val="left" w:pos="2694"/>
              </w:tabs>
              <w:jc w:val="center"/>
              <w:rPr>
                <w:sz w:val="16"/>
                <w:szCs w:val="16"/>
              </w:rPr>
            </w:pPr>
          </w:p>
          <w:p w14:paraId="3B98E986" w14:textId="77777777" w:rsidR="00CD484C" w:rsidRDefault="00CD484C">
            <w:pPr>
              <w:tabs>
                <w:tab w:val="left" w:pos="567"/>
                <w:tab w:val="left" w:pos="2268"/>
                <w:tab w:val="left" w:pos="2694"/>
              </w:tabs>
              <w:jc w:val="center"/>
              <w:rPr>
                <w:sz w:val="16"/>
                <w:szCs w:val="16"/>
              </w:rPr>
            </w:pPr>
            <w:r>
              <w:rPr>
                <w:sz w:val="16"/>
                <w:szCs w:val="16"/>
              </w:rPr>
              <w:t>341(2экз.)</w:t>
            </w:r>
          </w:p>
          <w:p w14:paraId="74438BF3" w14:textId="77777777" w:rsidR="00CD484C" w:rsidRDefault="00CD484C">
            <w:pPr>
              <w:tabs>
                <w:tab w:val="left" w:pos="567"/>
                <w:tab w:val="left" w:pos="2268"/>
                <w:tab w:val="left" w:pos="2694"/>
              </w:tabs>
              <w:jc w:val="center"/>
              <w:rPr>
                <w:sz w:val="16"/>
                <w:szCs w:val="16"/>
              </w:rPr>
            </w:pPr>
          </w:p>
        </w:tc>
        <w:tc>
          <w:tcPr>
            <w:tcW w:w="1440" w:type="dxa"/>
            <w:tcBorders>
              <w:bottom w:val="single" w:sz="12" w:space="0" w:color="000000"/>
            </w:tcBorders>
          </w:tcPr>
          <w:p w14:paraId="5E5CD40C" w14:textId="77777777" w:rsidR="00CD484C" w:rsidRDefault="00CD484C">
            <w:pPr>
              <w:tabs>
                <w:tab w:val="left" w:pos="567"/>
                <w:tab w:val="left" w:pos="2268"/>
                <w:tab w:val="left" w:pos="2694"/>
              </w:tabs>
              <w:jc w:val="center"/>
              <w:rPr>
                <w:sz w:val="16"/>
                <w:szCs w:val="16"/>
              </w:rPr>
            </w:pPr>
            <w:r>
              <w:rPr>
                <w:sz w:val="16"/>
                <w:szCs w:val="16"/>
              </w:rPr>
              <w:t>ар-Ради Аббасид.</w:t>
            </w:r>
          </w:p>
          <w:p w14:paraId="2A3FCA6B" w14:textId="77777777" w:rsidR="00CD484C" w:rsidRDefault="00CD484C">
            <w:pPr>
              <w:tabs>
                <w:tab w:val="left" w:pos="567"/>
                <w:tab w:val="left" w:pos="2268"/>
                <w:tab w:val="left" w:pos="2694"/>
              </w:tabs>
              <w:jc w:val="center"/>
              <w:rPr>
                <w:sz w:val="16"/>
                <w:szCs w:val="16"/>
              </w:rPr>
            </w:pPr>
            <w:r>
              <w:rPr>
                <w:sz w:val="16"/>
                <w:szCs w:val="16"/>
              </w:rPr>
              <w:t>Дайсам б.Ибрахим</w:t>
            </w:r>
          </w:p>
        </w:tc>
        <w:tc>
          <w:tcPr>
            <w:tcW w:w="1063" w:type="dxa"/>
            <w:tcBorders>
              <w:bottom w:val="single" w:sz="12" w:space="0" w:color="000000"/>
            </w:tcBorders>
          </w:tcPr>
          <w:p w14:paraId="6C454096" w14:textId="77777777" w:rsidR="00CD484C" w:rsidRDefault="00CD484C">
            <w:pPr>
              <w:tabs>
                <w:tab w:val="left" w:pos="567"/>
                <w:tab w:val="left" w:pos="2268"/>
                <w:tab w:val="left" w:pos="2694"/>
              </w:tabs>
              <w:jc w:val="center"/>
              <w:rPr>
                <w:sz w:val="16"/>
                <w:szCs w:val="16"/>
              </w:rPr>
            </w:pPr>
            <w:r>
              <w:rPr>
                <w:sz w:val="16"/>
                <w:szCs w:val="16"/>
              </w:rPr>
              <w:t>Яз-Кираги.</w:t>
            </w:r>
          </w:p>
          <w:p w14:paraId="37CBB2E7" w14:textId="77777777" w:rsidR="00CD484C" w:rsidRDefault="00CD484C">
            <w:pPr>
              <w:tabs>
                <w:tab w:val="left" w:pos="567"/>
                <w:tab w:val="left" w:pos="2268"/>
                <w:tab w:val="left" w:pos="2694"/>
              </w:tabs>
              <w:jc w:val="center"/>
              <w:rPr>
                <w:sz w:val="16"/>
                <w:szCs w:val="16"/>
              </w:rPr>
            </w:pPr>
            <w:r>
              <w:rPr>
                <w:sz w:val="16"/>
                <w:szCs w:val="16"/>
              </w:rPr>
              <w:t>Там же</w:t>
            </w:r>
          </w:p>
        </w:tc>
        <w:tc>
          <w:tcPr>
            <w:tcW w:w="1997" w:type="dxa"/>
            <w:tcBorders>
              <w:bottom w:val="single" w:sz="12" w:space="0" w:color="000000"/>
            </w:tcBorders>
          </w:tcPr>
          <w:p w14:paraId="1C9B1DDD" w14:textId="77777777" w:rsidR="00CD484C" w:rsidRDefault="00CD484C">
            <w:pPr>
              <w:tabs>
                <w:tab w:val="left" w:pos="567"/>
                <w:tab w:val="left" w:pos="2268"/>
                <w:tab w:val="left" w:pos="2694"/>
              </w:tabs>
              <w:jc w:val="center"/>
              <w:rPr>
                <w:sz w:val="16"/>
                <w:szCs w:val="16"/>
              </w:rPr>
            </w:pPr>
            <w:r>
              <w:rPr>
                <w:sz w:val="16"/>
                <w:szCs w:val="16"/>
              </w:rPr>
              <w:t>Там же. – С. 49.</w:t>
            </w:r>
          </w:p>
          <w:p w14:paraId="05D567E1" w14:textId="77777777" w:rsidR="00CD484C" w:rsidRDefault="00CD484C">
            <w:pPr>
              <w:tabs>
                <w:tab w:val="left" w:pos="567"/>
                <w:tab w:val="left" w:pos="2268"/>
                <w:tab w:val="left" w:pos="2694"/>
              </w:tabs>
              <w:jc w:val="center"/>
              <w:rPr>
                <w:sz w:val="16"/>
                <w:szCs w:val="16"/>
              </w:rPr>
            </w:pPr>
          </w:p>
          <w:p w14:paraId="66FEC5E1" w14:textId="77777777" w:rsidR="00CD484C" w:rsidRDefault="00CD484C">
            <w:pPr>
              <w:tabs>
                <w:tab w:val="left" w:pos="567"/>
                <w:tab w:val="left" w:pos="2268"/>
                <w:tab w:val="left" w:pos="2694"/>
              </w:tabs>
              <w:jc w:val="center"/>
              <w:rPr>
                <w:sz w:val="16"/>
                <w:szCs w:val="16"/>
              </w:rPr>
            </w:pPr>
            <w:r>
              <w:rPr>
                <w:sz w:val="16"/>
                <w:szCs w:val="16"/>
              </w:rPr>
              <w:t>Там же. – С. 56.</w:t>
            </w:r>
          </w:p>
        </w:tc>
      </w:tr>
    </w:tbl>
    <w:p w14:paraId="56242CE4" w14:textId="48294E1A" w:rsidR="00CD484C" w:rsidRDefault="00395416">
      <w:pPr>
        <w:tabs>
          <w:tab w:val="left" w:pos="567"/>
          <w:tab w:val="left" w:pos="2268"/>
          <w:tab w:val="left" w:pos="2694"/>
        </w:tabs>
        <w:spacing w:before="80"/>
        <w:ind w:firstLine="397"/>
        <w:jc w:val="both"/>
        <w:rPr>
          <w:sz w:val="20"/>
          <w:szCs w:val="16"/>
        </w:rPr>
      </w:pPr>
      <w:r>
        <w:rPr>
          <w:noProof/>
          <w:sz w:val="20"/>
          <w:szCs w:val="16"/>
        </w:rPr>
        <w:lastRenderedPageBreak/>
        <mc:AlternateContent>
          <mc:Choice Requires="wps">
            <w:drawing>
              <wp:anchor distT="0" distB="0" distL="114300" distR="114300" simplePos="0" relativeHeight="251663872" behindDoc="0" locked="1" layoutInCell="1" allowOverlap="1" wp14:anchorId="01CC5158" wp14:editId="6AB8A1EF">
                <wp:simplePos x="0" y="0"/>
                <wp:positionH relativeFrom="column">
                  <wp:posOffset>0</wp:posOffset>
                </wp:positionH>
                <wp:positionV relativeFrom="paragraph">
                  <wp:posOffset>-252730</wp:posOffset>
                </wp:positionV>
                <wp:extent cx="4095750" cy="186690"/>
                <wp:effectExtent l="0" t="1905" r="3810" b="1905"/>
                <wp:wrapNone/>
                <wp:docPr id="1924873245"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DEFCE"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28B59A5D"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C5158" id="Text Box 223" o:spid="_x0000_s1070" type="#_x0000_t202" style="position:absolute;left:0;text-align:left;margin-left:0;margin-top:-19.9pt;width:322.5pt;height:14.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E7wEAAMIDAAAOAAAAZHJzL2Uyb0RvYy54bWysU8Fu2zAMvQ/YPwi6L3aKNmu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vMxvrj5eUUpSbnm9Wt2kqWSimKsd+vBZQc9iUHKkoSZ0cXjwIXYjivlKfMyD0fVOG5M22FZb&#10;g+wgyAC79CUCr64ZGy9biGUTYjxJNCOziWMYq5Hpmlq+jBiRdgX1kYgjTMaiH4GCDvA3ZwOZquT+&#10;116g4sx8sSRedOAc4BxUcyCspNKSB86mcBsmp+4d6rYj5Gk8Fu5I4EYn7i9dnPoloyRJTqaOTvx7&#10;n269/HqbP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4X/vE7wEAAMIDAAAOAAAAAAAAAAAAAAAAAC4CAABkcnMvZTJv&#10;RG9jLnhtbFBLAQItABQABgAIAAAAIQCnTgMH3gAAAAgBAAAPAAAAAAAAAAAAAAAAAEkEAABkcnMv&#10;ZG93bnJldi54bWxQSwUGAAAAAAQABADzAAAAVAUAAAAA&#10;" stroked="f">
                <v:textbox inset="0,0,0,0">
                  <w:txbxContent>
                    <w:p w14:paraId="630DEFCE"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28B59A5D" w14:textId="77777777" w:rsidR="00AE2133" w:rsidRDefault="00AE2133">
                      <w:pPr>
                        <w:rPr>
                          <w:b/>
                          <w:bCs/>
                          <w:sz w:val="2"/>
                          <w:u w:val="single"/>
                        </w:rPr>
                      </w:pPr>
                    </w:p>
                  </w:txbxContent>
                </v:textbox>
                <w10:anchorlock/>
              </v:shape>
            </w:pict>
          </mc:Fallback>
        </mc:AlternateContent>
      </w:r>
      <w:r w:rsidR="00CD484C">
        <w:rPr>
          <w:sz w:val="20"/>
          <w:szCs w:val="16"/>
        </w:rPr>
        <w:t xml:space="preserve">На Юго-Западном побережье Каспийского моря в Ардебиле, бывшей, согласно Г.Ле Стреджу и В.В. Бартольду, центром провинции Азербайджан в 324 г., халиф ар-Ради (322–329/914–940) начал эмиссию своих дирхемов, по-видимому, защищая  северные провинции  державы от дайлеметских поползновений. </w:t>
      </w:r>
      <w:r w:rsidR="00CD484C">
        <w:rPr>
          <w:sz w:val="20"/>
          <w:szCs w:val="16"/>
        </w:rPr>
        <w:tab/>
      </w:r>
    </w:p>
    <w:p w14:paraId="44DB1679" w14:textId="77777777" w:rsidR="00CD484C" w:rsidRDefault="00CD484C">
      <w:pPr>
        <w:tabs>
          <w:tab w:val="left" w:pos="567"/>
          <w:tab w:val="left" w:pos="2268"/>
          <w:tab w:val="left" w:pos="2694"/>
        </w:tabs>
        <w:ind w:firstLine="397"/>
        <w:jc w:val="both"/>
        <w:rPr>
          <w:spacing w:val="2"/>
          <w:sz w:val="20"/>
          <w:szCs w:val="16"/>
        </w:rPr>
      </w:pPr>
      <w:r>
        <w:rPr>
          <w:spacing w:val="2"/>
          <w:sz w:val="20"/>
          <w:szCs w:val="16"/>
        </w:rPr>
        <w:t xml:space="preserve">Но, уже в 326 г.х. Дайсам б. Ибрахим, согласно В.Ф. Минорскому, упоминается как правитель Азербайджана (Минорский В.Ф., 1963. – С. 85–86). Судя по имеющимся материалам, в 329 г. Дайсам б.Ибрахим также выходец из Дайлема, заявил о своих притязаниях на провинцию Азербайджан, что,  вероятно, произошло  после смерти ар-Ради, а в 341 г. он утвердился в Ардебиле, где ему тут же острую политическую конкуренцию составил другой Саларид Ал-Мазрубан б.Мухаммед. Из 7 монет 341 г.выпуска 6 отчеканены Ардебиле и выпали в составе кл. Яз-Кираги, тогда как монета двора Азербайджан с той же датой, но битая от имени Мазрубан б.Мухаммеда выпала в более консервативном по составу кладу Банбаши. Наличие монет провинциальных эмиссий в рассматриваемых кладах только 341 г. не позволяет уверенно говорить о продолжении существования саларидской эмиссии в Азербайджане по крайней мере в 342/953 г., хотя, согласно В.Ф. Минорскому, известно, что в 334/946 г. власть Мазрубана распространялась до Дабиля (Минорский В.Ф., 1963. – С. 86). </w:t>
      </w:r>
    </w:p>
    <w:p w14:paraId="23F9EC29" w14:textId="77777777" w:rsidR="00CD484C" w:rsidRDefault="00CD484C">
      <w:pPr>
        <w:tabs>
          <w:tab w:val="left" w:pos="567"/>
          <w:tab w:val="left" w:pos="2268"/>
          <w:tab w:val="left" w:pos="2694"/>
        </w:tabs>
        <w:ind w:firstLine="397"/>
        <w:jc w:val="both"/>
        <w:rPr>
          <w:sz w:val="20"/>
          <w:szCs w:val="16"/>
        </w:rPr>
      </w:pPr>
      <w:r>
        <w:rPr>
          <w:sz w:val="20"/>
          <w:szCs w:val="16"/>
        </w:rPr>
        <w:t>С 40-х гг. Х в., пишет Х.А. Мушегян, Двин переходит в Салоридам. Только благодаря уникальному дирхему, чеканенному в Арминии в 330/341–342 г. с именем Дайсона ибн Ибрахима можно утверждать, что Двин перешел в руки эмира Дайсона, который на короткое время потеснил Салоридов и захватил власть в Азербайджане, Северо-восточной Армении в 941–942 и 951–952 гг. (Мушегян Х.А., 1962. – С. 15.)</w:t>
      </w:r>
    </w:p>
    <w:p w14:paraId="45E5B052" w14:textId="77777777" w:rsidR="00CD484C" w:rsidRDefault="00CD484C">
      <w:pPr>
        <w:tabs>
          <w:tab w:val="left" w:pos="567"/>
          <w:tab w:val="left" w:pos="2268"/>
          <w:tab w:val="left" w:pos="2694"/>
        </w:tabs>
        <w:ind w:firstLine="397"/>
        <w:jc w:val="both"/>
        <w:rPr>
          <w:spacing w:val="-2"/>
          <w:sz w:val="20"/>
          <w:szCs w:val="16"/>
        </w:rPr>
      </w:pPr>
      <w:r>
        <w:rPr>
          <w:spacing w:val="-2"/>
          <w:sz w:val="20"/>
          <w:szCs w:val="16"/>
        </w:rPr>
        <w:t>Наличие обильного для младшей ХГ клада Яз-Кираги Ардебильских монет при учете ММ кладов с монетными дворами Басра-Арраджан-Шираз и Нишапур, позволяет более определенно говорить о существовании пути Ардебиль – Муган, а также заоострить внимание о месте мискинга монетных потоков, стремившихся на Север: монет Бувейхидов и Саманидов (ал-Мухамадия – ?) – двух непримиримых военно-политических  противников в борьбе за прикаспийские и, как мы хорошо знаем из работ А.К. Маркова, Р.Р. Фасмера и В.Л. Янина, за европейские денежные рынки</w:t>
      </w:r>
      <w:r>
        <w:rPr>
          <w:rStyle w:val="a6"/>
          <w:spacing w:val="-2"/>
          <w:sz w:val="20"/>
          <w:szCs w:val="16"/>
        </w:rPr>
        <w:footnoteReference w:customMarkFollows="1" w:id="71"/>
        <w:t>24</w:t>
      </w:r>
      <w:r>
        <w:rPr>
          <w:spacing w:val="-2"/>
          <w:sz w:val="20"/>
          <w:szCs w:val="16"/>
        </w:rPr>
        <w:t xml:space="preserve">. </w:t>
      </w:r>
    </w:p>
    <w:p w14:paraId="17AA01F3" w14:textId="77777777" w:rsidR="00CD484C" w:rsidRDefault="00CD484C">
      <w:pPr>
        <w:pStyle w:val="a5"/>
        <w:ind w:firstLine="397"/>
        <w:jc w:val="both"/>
        <w:rPr>
          <w:spacing w:val="-3"/>
          <w:szCs w:val="16"/>
        </w:rPr>
      </w:pPr>
      <w:r>
        <w:rPr>
          <w:spacing w:val="-3"/>
          <w:szCs w:val="16"/>
        </w:rPr>
        <w:t xml:space="preserve">Вне нашего поля зрения не осталась и чеканка монетного двора Арминия, который, согласно Мушегяну (1956. – С. 86), выпускал дирхемы </w:t>
      </w:r>
      <w:r>
        <w:rPr>
          <w:spacing w:val="-3"/>
          <w:szCs w:val="16"/>
        </w:rPr>
        <w:lastRenderedPageBreak/>
        <w:t>между 293 и 333 г.х., вероятно с перерывами</w:t>
      </w:r>
      <w:r>
        <w:rPr>
          <w:rStyle w:val="a6"/>
          <w:spacing w:val="-3"/>
          <w:szCs w:val="16"/>
        </w:rPr>
        <w:footnoteReference w:customMarkFollows="1" w:id="72"/>
        <w:t>25</w:t>
      </w:r>
      <w:r>
        <w:rPr>
          <w:spacing w:val="-3"/>
          <w:szCs w:val="16"/>
        </w:rPr>
        <w:t>. Приводя подробное изложение мнений о месте эмиссии монетного двора Арминия, И.Л. Джалаганиа (1979. – С. 57–59), не отвергая точку зрения Х.А. Мушегяна о том, что Арминия, центр которой является Двин – Дабиль, заметила, что вопрос  требует дополнительного нумизматического материала. Аналогии с другим нумизматическим материалом конца Х в., показывают, что изучение эмиссионных связок «провинция – город» по методу бинарных оппозиций, а также исключение третьего, позволяют более оптимистично смотреть на возможность существовании эмиссионной пары Арминия – Двин, не исключая, вместе с тем и того обстоятельства, что  монет с указанием двора «Двин» еще предстоит открыть. По данным А.К. Маркова дирхемы, выпущенные монетным двором Арминия, встречаются в 13 кладах Европы, в том числе отмечена монета в однои из кладов Ирландии (Марков А.К., 1910. – С. 106. № 7).</w:t>
      </w:r>
    </w:p>
    <w:p w14:paraId="701977AE" w14:textId="77777777" w:rsidR="00CD484C" w:rsidRDefault="00CD484C">
      <w:pPr>
        <w:ind w:firstLine="397"/>
        <w:jc w:val="both"/>
        <w:rPr>
          <w:spacing w:val="-4"/>
          <w:sz w:val="20"/>
          <w:szCs w:val="16"/>
        </w:rPr>
      </w:pPr>
      <w:r>
        <w:rPr>
          <w:spacing w:val="-4"/>
          <w:sz w:val="20"/>
          <w:szCs w:val="16"/>
        </w:rPr>
        <w:t>Заметим, что, по мнению Е.А. Пахомова, денежный рынок Закавказья в VIII–Х вв. питался в основном мусульманской чеканкой, а грузинские монеты – эмиссии малых династий – практически целиком уходили на Север (Пахомов Е.А., 1970. – С. 49). Данные нумизматики показывают наличие еще одной малой династии, о которой нет сведений в письменных источниках (Джалаганиа И.Л., 1979. – С. 63), чекан которой, установленный Е.А. Пахомовым, И.Л. Джалаганиа и А.А. Молчановым от имени первого основателя грузинской династии Джафара ибн Мансура находился в пределах достаточно большого периода – 342/953-4 г. и, по меньшей мере, до 374/984–5 гг.</w:t>
      </w:r>
      <w:r>
        <w:rPr>
          <w:rStyle w:val="a6"/>
          <w:spacing w:val="-4"/>
          <w:sz w:val="20"/>
          <w:szCs w:val="16"/>
        </w:rPr>
        <w:footnoteReference w:customMarkFollows="1" w:id="73"/>
        <w:t>26</w:t>
      </w:r>
      <w:r>
        <w:rPr>
          <w:spacing w:val="-4"/>
          <w:sz w:val="20"/>
          <w:szCs w:val="16"/>
        </w:rPr>
        <w:t xml:space="preserve"> </w:t>
      </w:r>
    </w:p>
    <w:p w14:paraId="1C113517" w14:textId="77777777" w:rsidR="00CD484C" w:rsidRDefault="00CD484C">
      <w:pPr>
        <w:ind w:firstLine="397"/>
        <w:jc w:val="both"/>
        <w:rPr>
          <w:spacing w:val="-2"/>
          <w:sz w:val="20"/>
          <w:szCs w:val="16"/>
        </w:rPr>
      </w:pPr>
      <w:r>
        <w:rPr>
          <w:spacing w:val="-2"/>
          <w:sz w:val="20"/>
          <w:szCs w:val="16"/>
        </w:rPr>
        <w:t>Публикуя тифлиский дирхем клада Борки 1952 г. Мервинского р-на Рязанской области, имеющий дату эмиссии 314/926–927 гг., Пахомов (Пахомов Е.А., 1957. – С. 94, № 1877), заметил о малой вероятности их следования через Дербент. Наличие кладов куфических монет на территории Европы, в которых находятся сочетания монет, выпущенные монетными дворами Армиинии и Берда’а и отсутствии в них монет грузинской чеканки, не может не свидетельствовать о разных путях их поступления в Европу</w:t>
      </w:r>
      <w:r>
        <w:rPr>
          <w:rStyle w:val="a6"/>
          <w:spacing w:val="-2"/>
          <w:sz w:val="20"/>
          <w:szCs w:val="16"/>
        </w:rPr>
        <w:footnoteReference w:customMarkFollows="1" w:id="74"/>
        <w:t>27</w:t>
      </w:r>
      <w:r>
        <w:rPr>
          <w:spacing w:val="-2"/>
          <w:sz w:val="20"/>
          <w:szCs w:val="16"/>
        </w:rPr>
        <w:t xml:space="preserve">. </w:t>
      </w:r>
    </w:p>
    <w:p w14:paraId="5B2E75F7" w14:textId="77777777" w:rsidR="00CD484C" w:rsidRDefault="00CD484C">
      <w:pPr>
        <w:tabs>
          <w:tab w:val="left" w:pos="567"/>
          <w:tab w:val="left" w:pos="2268"/>
          <w:tab w:val="left" w:pos="2694"/>
        </w:tabs>
        <w:ind w:firstLine="397"/>
        <w:jc w:val="both"/>
        <w:rPr>
          <w:sz w:val="20"/>
          <w:szCs w:val="16"/>
        </w:rPr>
      </w:pPr>
      <w:r>
        <w:rPr>
          <w:sz w:val="20"/>
          <w:szCs w:val="16"/>
        </w:rPr>
        <w:t>Таким образом, показания  монет провинциальных эмиссий демонстрируют окончательное отделение закавказских стран от разваливающегося Халифата в 341–342/952–954 гг.</w:t>
      </w:r>
    </w:p>
    <w:p w14:paraId="207070EE" w14:textId="079F702D" w:rsidR="00CD484C" w:rsidRDefault="00395416">
      <w:pPr>
        <w:tabs>
          <w:tab w:val="left" w:pos="567"/>
          <w:tab w:val="left" w:pos="2268"/>
          <w:tab w:val="left" w:pos="2694"/>
        </w:tabs>
        <w:ind w:firstLine="397"/>
        <w:jc w:val="both"/>
        <w:rPr>
          <w:sz w:val="20"/>
          <w:szCs w:val="16"/>
        </w:rPr>
      </w:pPr>
      <w:r>
        <w:rPr>
          <w:noProof/>
          <w:sz w:val="20"/>
          <w:szCs w:val="16"/>
        </w:rPr>
        <w:lastRenderedPageBreak/>
        <mc:AlternateContent>
          <mc:Choice Requires="wps">
            <w:drawing>
              <wp:anchor distT="0" distB="0" distL="114300" distR="114300" simplePos="0" relativeHeight="251664896" behindDoc="0" locked="1" layoutInCell="1" allowOverlap="1" wp14:anchorId="1659510C" wp14:editId="21104122">
                <wp:simplePos x="0" y="0"/>
                <wp:positionH relativeFrom="column">
                  <wp:posOffset>0</wp:posOffset>
                </wp:positionH>
                <wp:positionV relativeFrom="paragraph">
                  <wp:posOffset>-252730</wp:posOffset>
                </wp:positionV>
                <wp:extent cx="4095750" cy="186690"/>
                <wp:effectExtent l="0" t="1905" r="3810" b="1905"/>
                <wp:wrapNone/>
                <wp:docPr id="600000346"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A0346"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38DC85B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9510C" id="Text Box 224" o:spid="_x0000_s1071" type="#_x0000_t202" style="position:absolute;left:0;text-align:left;margin-left:0;margin-top:-19.9pt;width:322.5pt;height:14.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LrVGR7wEAAMIDAAAOAAAAAAAAAAAAAAAAAC4CAABkcnMvZTJv&#10;RG9jLnhtbFBLAQItABQABgAIAAAAIQCnTgMH3gAAAAgBAAAPAAAAAAAAAAAAAAAAAEkEAABkcnMv&#10;ZG93bnJldi54bWxQSwUGAAAAAAQABADzAAAAVAUAAAAA&#10;" stroked="f">
                <v:textbox inset="0,0,0,0">
                  <w:txbxContent>
                    <w:p w14:paraId="597A0346"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38DC85B9" w14:textId="77777777" w:rsidR="00AE2133" w:rsidRDefault="00AE2133">
                      <w:pPr>
                        <w:rPr>
                          <w:b/>
                          <w:bCs/>
                          <w:sz w:val="2"/>
                          <w:u w:val="single"/>
                        </w:rPr>
                      </w:pPr>
                    </w:p>
                  </w:txbxContent>
                </v:textbox>
                <w10:anchorlock/>
              </v:shape>
            </w:pict>
          </mc:Fallback>
        </mc:AlternateContent>
      </w:r>
      <w:r w:rsidR="00CD484C">
        <w:rPr>
          <w:sz w:val="20"/>
          <w:szCs w:val="16"/>
        </w:rPr>
        <w:t>Эмиссии малых династий, являющиеся своеобразными индикаторами денежного обращения  ближайших территорий, свидетельствует о соответствующих торговых связях и монетных потоках, степени развитости местных денежно-монетных рынков.</w:t>
      </w:r>
    </w:p>
    <w:p w14:paraId="14A91907" w14:textId="77777777" w:rsidR="00CD484C" w:rsidRDefault="00CD484C">
      <w:pPr>
        <w:tabs>
          <w:tab w:val="left" w:pos="567"/>
          <w:tab w:val="left" w:pos="2268"/>
          <w:tab w:val="left" w:pos="2694"/>
        </w:tabs>
        <w:ind w:firstLine="397"/>
        <w:jc w:val="both"/>
        <w:rPr>
          <w:sz w:val="20"/>
          <w:szCs w:val="16"/>
        </w:rPr>
      </w:pPr>
      <w:r>
        <w:rPr>
          <w:sz w:val="20"/>
          <w:szCs w:val="16"/>
        </w:rPr>
        <w:t xml:space="preserve">Наконец, последняя «малая» династия, на которой следует остановиться – эмиссия эмиров Андервба (Афганистан), монеты которой присутствуют в азербайджанских кладах. Эмиссионное распределение закавказских кладов по признаку чекан Андераба демонстрирует: 1. Зависимость всех  рассмотренных в работе кладах от разных денежно-монетных рынков. 2. Прекращение поступление андерабских монет после 304/916 г. в Закавказье. Диапазон андерабской чеканки, представленный в данном регионе распространения куфической монеты полностью представлен только кл.Яз-Кираги начиная /254 – 304/916) с перерывами, наиболее насыщен диапазон 265–278 (877–890) гг., представленный монетами в частности Саид б.Саида и Мухаммеда б.Ахмеда. Андерабская монета до городища Двин в Армении не доходила, а в начале пути через Муганскую равнину она, по-видимому, проходила транзитом и не отложилась в силу статистических закономерностей распределения монетных импульсов. Единственная монета чекана Андераба, присутствующая в кладе Банбаши является вкупе и аналогичным дирхемом кл.Яз-Кираги ММ андерабской эмиссии  Закавказских кладов. Они выпущена от имени Ахмеда б.Саида при патронаже халифа ал-Муктадира и Саманида Насра б.Ахмеда (Пахомов Е.А., 1966. – С. 36, № 48; С. 60–61), свидетельствующее  о признании сюзеренитета Самандиской династии над  афганской провинцией. </w:t>
      </w:r>
    </w:p>
    <w:p w14:paraId="3631EEB8" w14:textId="77777777" w:rsidR="00CD484C" w:rsidRDefault="00CD484C">
      <w:pPr>
        <w:tabs>
          <w:tab w:val="left" w:pos="567"/>
          <w:tab w:val="left" w:pos="2268"/>
          <w:tab w:val="left" w:pos="2694"/>
        </w:tabs>
        <w:ind w:firstLine="397"/>
        <w:jc w:val="both"/>
        <w:rPr>
          <w:sz w:val="20"/>
          <w:szCs w:val="16"/>
        </w:rPr>
      </w:pPr>
      <w:r>
        <w:rPr>
          <w:sz w:val="20"/>
          <w:szCs w:val="16"/>
        </w:rPr>
        <w:t>В течение последующих 28 лет, предшествующих дате ММ кладов Азербайджана, монета чекана Андераба как это видно из анализа эмиссионного распределения кладов, выпавших на территории Маверанахра с начала 910-х гг. (Кочнев Б.Д., 1996. № 7, 11), целиком шли на денежные рынки Согда и Чача, а уже оттуда в Европу</w:t>
      </w:r>
      <w:r>
        <w:rPr>
          <w:rStyle w:val="a6"/>
          <w:sz w:val="20"/>
          <w:szCs w:val="16"/>
        </w:rPr>
        <w:footnoteReference w:customMarkFollows="1" w:id="75"/>
        <w:t>28</w:t>
      </w:r>
      <w:r>
        <w:rPr>
          <w:sz w:val="20"/>
          <w:szCs w:val="16"/>
        </w:rPr>
        <w:t>. Здесь уместно вспомнить, что русские клады до 50-х годов Х в., имеющие узкий диапазон чеканки, до в пределах 30–60 лет (Янин В.Л., 1956. – С. 132), состоящие практически целиком из монет маверанахрской эмиссии позволяет утверждать, что они были доставлены сухопутным путем из Средней Азии в Хазарию или в Волжскую Булгарию.</w:t>
      </w:r>
    </w:p>
    <w:p w14:paraId="349FE621" w14:textId="77777777" w:rsidR="00CD484C" w:rsidRDefault="00CD484C">
      <w:pPr>
        <w:tabs>
          <w:tab w:val="left" w:pos="567"/>
          <w:tab w:val="left" w:pos="2268"/>
          <w:tab w:val="left" w:pos="2694"/>
        </w:tabs>
        <w:ind w:firstLine="397"/>
        <w:jc w:val="both"/>
        <w:rPr>
          <w:sz w:val="20"/>
          <w:szCs w:val="16"/>
        </w:rPr>
      </w:pPr>
      <w:r>
        <w:rPr>
          <w:sz w:val="20"/>
          <w:szCs w:val="16"/>
        </w:rPr>
        <w:t xml:space="preserve">С учетом того, что хронологический диапазон кл.Бзован составляет 5 десятилетий и превалирование, причем 4-х кратное младшей ХГ на ей предшествующей составляющей в целом всего 43,84% хронологического состава, можно утверждать, что этот как раз тот случай, когда согласно  </w:t>
      </w:r>
      <w:r>
        <w:rPr>
          <w:sz w:val="20"/>
          <w:szCs w:val="16"/>
        </w:rPr>
        <w:lastRenderedPageBreak/>
        <w:t>заключению В.Л. Янина, вместе с «молодой монетой» из обращения Востока довольно много приходит монеты старой, которая в течение известного времени наравне с другими «младшими» монетами более или менее активно воздействует на формирование русского обращения. Начало внешней торговли с Русью немало способствовало очищению от ранних монет обращения самого Востока» (Янин В.Л., 1956. – С. 69–70). В этом случае, снова прибегая к словам Янина, данный клад является моментальной фотографией денежного обращения Ближнего Востока на конкретную дату 322/934 гг. Исходя из приведенных методических посылок, как представляется, можно осуществить эмиссионное распределение клада Бзован, которое проиллюстрировано графически /Рис. 8/. Преобладание чеканки аббасидского Багдада и некоторая дисперсия  эмиссии провинциальных центров в особых комментариях, по-видимому, не нуждается. Отметим, лишь относительно большой процент (10,52) дирхемов со сбитым монетным двором.</w:t>
      </w:r>
    </w:p>
    <w:p w14:paraId="754C5F4B" w14:textId="77777777" w:rsidR="00CD484C" w:rsidRDefault="00CD484C">
      <w:pPr>
        <w:tabs>
          <w:tab w:val="left" w:pos="567"/>
          <w:tab w:val="left" w:pos="2268"/>
          <w:tab w:val="left" w:pos="2694"/>
        </w:tabs>
        <w:ind w:firstLine="397"/>
        <w:jc w:val="both"/>
        <w:rPr>
          <w:sz w:val="20"/>
          <w:szCs w:val="16"/>
        </w:rPr>
      </w:pPr>
    </w:p>
    <w:p w14:paraId="0DF0C240" w14:textId="03A5ED15" w:rsidR="00CD484C" w:rsidRDefault="00395416">
      <w:pPr>
        <w:jc w:val="center"/>
        <w:rPr>
          <w:sz w:val="16"/>
          <w:szCs w:val="16"/>
        </w:rPr>
      </w:pPr>
      <w:r>
        <w:rPr>
          <w:noProof/>
          <w:sz w:val="16"/>
          <w:szCs w:val="16"/>
        </w:rPr>
        <w:drawing>
          <wp:inline distT="0" distB="0" distL="0" distR="0" wp14:anchorId="649913CA" wp14:editId="649A045A">
            <wp:extent cx="2933700" cy="2476500"/>
            <wp:effectExtent l="0" t="0" r="0" b="0"/>
            <wp:docPr id="31"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858CA6B" w14:textId="77777777" w:rsidR="00CD484C" w:rsidRDefault="00CD484C">
      <w:pPr>
        <w:jc w:val="center"/>
        <w:rPr>
          <w:sz w:val="20"/>
          <w:szCs w:val="16"/>
        </w:rPr>
      </w:pPr>
    </w:p>
    <w:p w14:paraId="315A5B6A" w14:textId="77777777" w:rsidR="00CD484C" w:rsidRDefault="00CD484C">
      <w:pPr>
        <w:jc w:val="center"/>
        <w:rPr>
          <w:i/>
          <w:iCs/>
          <w:sz w:val="18"/>
          <w:szCs w:val="16"/>
        </w:rPr>
      </w:pPr>
      <w:r>
        <w:rPr>
          <w:b/>
          <w:bCs/>
          <w:i/>
          <w:iCs/>
          <w:sz w:val="18"/>
          <w:szCs w:val="16"/>
        </w:rPr>
        <w:t>Рис. 8.</w:t>
      </w:r>
      <w:r>
        <w:rPr>
          <w:i/>
          <w:iCs/>
          <w:sz w:val="18"/>
          <w:szCs w:val="16"/>
        </w:rPr>
        <w:t xml:space="preserve"> Эмиссионное распределение клада Бзован 1955 г. (21 монета)</w:t>
      </w:r>
    </w:p>
    <w:p w14:paraId="7271C49A" w14:textId="77777777" w:rsidR="00CD484C" w:rsidRDefault="00CD484C">
      <w:pPr>
        <w:ind w:firstLine="397"/>
        <w:jc w:val="both"/>
        <w:rPr>
          <w:sz w:val="20"/>
          <w:szCs w:val="16"/>
        </w:rPr>
      </w:pPr>
    </w:p>
    <w:p w14:paraId="119032A5" w14:textId="77777777" w:rsidR="00CD484C" w:rsidRDefault="00CD484C">
      <w:pPr>
        <w:ind w:firstLine="397"/>
        <w:jc w:val="both"/>
        <w:rPr>
          <w:spacing w:val="-4"/>
          <w:sz w:val="20"/>
          <w:szCs w:val="16"/>
        </w:rPr>
      </w:pPr>
      <w:r>
        <w:rPr>
          <w:spacing w:val="-4"/>
          <w:sz w:val="20"/>
          <w:szCs w:val="16"/>
        </w:rPr>
        <w:t xml:space="preserve">На противоположном берегу Каспийского моря яркой иллюстрацией  иного монетного потока является небольшой клад, обнаруженный в степи в 50 км. к югу от ж.д.станции Красный десант в Астраханской области 1970-х гг., введенный в научный оборот  Г.А. Фёдоров-Давыдовым (1988. – С. 47, № 55), Диапазон чеканки 294/906–907 г. – 306/918–919 г., – минимален – 12 лет, что не может вызвать сомнений о мгновенном  выпадении монет данного клада из состава денежного обращения на валютных рынках Маверанахра. </w:t>
      </w:r>
    </w:p>
    <w:p w14:paraId="63F3B097" w14:textId="53078A6E" w:rsidR="00CD484C" w:rsidRDefault="00395416">
      <w:pPr>
        <w:tabs>
          <w:tab w:val="left" w:pos="567"/>
          <w:tab w:val="left" w:pos="2268"/>
          <w:tab w:val="left" w:pos="2694"/>
        </w:tabs>
        <w:ind w:firstLine="397"/>
        <w:jc w:val="both"/>
        <w:rPr>
          <w:spacing w:val="4"/>
          <w:sz w:val="20"/>
          <w:szCs w:val="16"/>
        </w:rPr>
      </w:pPr>
      <w:r>
        <w:rPr>
          <w:noProof/>
          <w:spacing w:val="4"/>
          <w:sz w:val="20"/>
          <w:szCs w:val="16"/>
        </w:rPr>
        <w:lastRenderedPageBreak/>
        <mc:AlternateContent>
          <mc:Choice Requires="wps">
            <w:drawing>
              <wp:anchor distT="0" distB="0" distL="114300" distR="114300" simplePos="0" relativeHeight="251665920" behindDoc="0" locked="1" layoutInCell="1" allowOverlap="1" wp14:anchorId="7B86F60D" wp14:editId="3910C2A2">
                <wp:simplePos x="0" y="0"/>
                <wp:positionH relativeFrom="column">
                  <wp:posOffset>0</wp:posOffset>
                </wp:positionH>
                <wp:positionV relativeFrom="paragraph">
                  <wp:posOffset>-252730</wp:posOffset>
                </wp:positionV>
                <wp:extent cx="4095750" cy="186690"/>
                <wp:effectExtent l="0" t="1905" r="3810" b="1905"/>
                <wp:wrapNone/>
                <wp:docPr id="207638260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E10BB9"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118BA1C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6F60D" id="Text Box 225" o:spid="_x0000_s1072" type="#_x0000_t202" style="position:absolute;left:0;text-align:left;margin-left:0;margin-top:-19.9pt;width:322.5pt;height:14.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5v7w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Gmp5nTAS7RqaExFHmIxFPwIFHeAvzgYyVcXD&#10;z4NAxZn96Ei85MA5wDmo50A4SaUVj5xN4S5OTj14NG1HyNN4HNyTwNpk7s9dnPslo2RJzqZOTvxz&#10;n289/3rb3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euq5v7wEAAMIDAAAOAAAAAAAAAAAAAAAAAC4CAABkcnMvZTJv&#10;RG9jLnhtbFBLAQItABQABgAIAAAAIQCnTgMH3gAAAAgBAAAPAAAAAAAAAAAAAAAAAEkEAABkcnMv&#10;ZG93bnJldi54bWxQSwUGAAAAAAQABADzAAAAVAUAAAAA&#10;" stroked="f">
                <v:textbox inset="0,0,0,0">
                  <w:txbxContent>
                    <w:p w14:paraId="61E10BB9" w14:textId="77777777" w:rsidR="00AE2133" w:rsidRDefault="00AE2133">
                      <w:pPr>
                        <w:pStyle w:val="a3"/>
                        <w:spacing w:before="0" w:after="0"/>
                        <w:rPr>
                          <w:szCs w:val="24"/>
                          <w:u w:val="single"/>
                        </w:rPr>
                      </w:pPr>
                      <w:r>
                        <w:rPr>
                          <w:szCs w:val="24"/>
                          <w:u w:val="single"/>
                        </w:rPr>
                        <w:t xml:space="preserve">           Очерк  4. Закавказские клады куфических монет…  </w:t>
                      </w:r>
                      <w:r>
                        <w:rPr>
                          <w:szCs w:val="24"/>
                          <w:u w:val="single"/>
                        </w:rPr>
                        <w:tab/>
                        <w:t xml:space="preserve">        </w:t>
                      </w:r>
                    </w:p>
                    <w:p w14:paraId="118BA1C9" w14:textId="77777777" w:rsidR="00AE2133" w:rsidRDefault="00AE2133">
                      <w:pPr>
                        <w:rPr>
                          <w:b/>
                          <w:bCs/>
                          <w:sz w:val="2"/>
                          <w:u w:val="single"/>
                        </w:rPr>
                      </w:pPr>
                    </w:p>
                  </w:txbxContent>
                </v:textbox>
                <w10:anchorlock/>
              </v:shape>
            </w:pict>
          </mc:Fallback>
        </mc:AlternateContent>
      </w:r>
      <w:r w:rsidR="00CD484C">
        <w:rPr>
          <w:spacing w:val="4"/>
          <w:sz w:val="20"/>
          <w:szCs w:val="16"/>
        </w:rPr>
        <w:t>Поскольку, более половины состава данного клада было выпущено в Самарканде, а также, если принять во внимание, что 3 монеты, являющиеся младшими также эмитированы на данном монетном дворе в 306/918–919 гг. напрашивается мысль о том, что рассматриваемый клад выпал из потока саманидского дирхема в Хазарию, стартовавшего в Самарканде. /Рис. 9/.</w:t>
      </w:r>
    </w:p>
    <w:p w14:paraId="16CA8A18" w14:textId="77777777" w:rsidR="00CD484C" w:rsidRDefault="00CD484C">
      <w:pPr>
        <w:tabs>
          <w:tab w:val="left" w:pos="567"/>
          <w:tab w:val="left" w:pos="2268"/>
          <w:tab w:val="left" w:pos="2694"/>
        </w:tabs>
        <w:ind w:firstLine="397"/>
        <w:jc w:val="both"/>
        <w:rPr>
          <w:spacing w:val="4"/>
          <w:sz w:val="20"/>
          <w:szCs w:val="16"/>
        </w:rPr>
      </w:pPr>
    </w:p>
    <w:p w14:paraId="73206A25" w14:textId="77777777" w:rsidR="00CD484C" w:rsidRDefault="00CD484C">
      <w:pPr>
        <w:tabs>
          <w:tab w:val="left" w:pos="567"/>
          <w:tab w:val="left" w:pos="2268"/>
          <w:tab w:val="left" w:pos="2694"/>
        </w:tabs>
        <w:jc w:val="center"/>
        <w:rPr>
          <w:sz w:val="20"/>
          <w:szCs w:val="16"/>
        </w:rPr>
      </w:pPr>
      <w:r>
        <w:rPr>
          <w:sz w:val="16"/>
          <w:szCs w:val="16"/>
        </w:rPr>
        <w:object w:dxaOrig="4680" w:dyaOrig="2250" w14:anchorId="5F991402">
          <v:shape id="_x0000_i1030" type="#_x0000_t75" style="width:234pt;height:112.5pt" o:ole="" o:bordertopcolor="this" o:borderleftcolor="this" o:borderbottomcolor="this" o:borderrightcolor="this">
            <v:imagedata r:id="rId48" o:title=""/>
            <v:shadow on="t"/>
            <w10:bordertop type="single" width="6" shadow="t"/>
            <w10:borderleft type="single" width="6" shadow="t"/>
            <w10:borderbottom type="single" width="6" shadow="t"/>
            <w10:borderright type="single" width="6" shadow="t"/>
          </v:shape>
          <o:OLEObject Type="Embed" ProgID="Excel.Chart.8" ShapeID="_x0000_i1030" DrawAspect="Content" ObjectID="_1816884170" r:id="rId49">
            <o:FieldCodes>\s</o:FieldCodes>
          </o:OLEObject>
        </w:object>
      </w:r>
    </w:p>
    <w:p w14:paraId="3D950CD2" w14:textId="177D9AAC" w:rsidR="00CD484C" w:rsidRDefault="00395416">
      <w:pPr>
        <w:tabs>
          <w:tab w:val="left" w:pos="567"/>
          <w:tab w:val="left" w:pos="2268"/>
          <w:tab w:val="left" w:pos="2694"/>
        </w:tabs>
        <w:ind w:firstLine="397"/>
        <w:jc w:val="both"/>
        <w:rPr>
          <w:i/>
          <w:iCs/>
          <w:sz w:val="16"/>
          <w:szCs w:val="16"/>
        </w:rPr>
      </w:pPr>
      <w:r>
        <w:rPr>
          <w:i/>
          <w:iCs/>
          <w:noProof/>
          <w:sz w:val="16"/>
          <w:szCs w:val="16"/>
        </w:rPr>
        <mc:AlternateContent>
          <mc:Choice Requires="wps">
            <w:drawing>
              <wp:anchor distT="0" distB="0" distL="114300" distR="114300" simplePos="0" relativeHeight="251666944" behindDoc="0" locked="0" layoutInCell="1" allowOverlap="1" wp14:anchorId="039A4684" wp14:editId="13574EFA">
                <wp:simplePos x="0" y="0"/>
                <wp:positionH relativeFrom="column">
                  <wp:posOffset>937895</wp:posOffset>
                </wp:positionH>
                <wp:positionV relativeFrom="paragraph">
                  <wp:posOffset>-1371600</wp:posOffset>
                </wp:positionV>
                <wp:extent cx="2286000" cy="342900"/>
                <wp:effectExtent l="635" t="635" r="0" b="0"/>
                <wp:wrapNone/>
                <wp:docPr id="1467239547"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778DE" id="Rectangle 228" o:spid="_x0000_s1026" style="position:absolute;margin-left:73.85pt;margin-top:-108pt;width:180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" stroked="f"/>
            </w:pict>
          </mc:Fallback>
        </mc:AlternateContent>
      </w:r>
    </w:p>
    <w:p w14:paraId="1A19A60A" w14:textId="77777777" w:rsidR="00CD484C" w:rsidRDefault="00CD484C">
      <w:pPr>
        <w:tabs>
          <w:tab w:val="left" w:pos="567"/>
          <w:tab w:val="left" w:pos="2268"/>
          <w:tab w:val="left" w:pos="2694"/>
        </w:tabs>
        <w:jc w:val="center"/>
        <w:rPr>
          <w:i/>
          <w:iCs/>
          <w:sz w:val="18"/>
          <w:szCs w:val="16"/>
        </w:rPr>
      </w:pPr>
      <w:r>
        <w:rPr>
          <w:b/>
          <w:bCs/>
          <w:i/>
          <w:iCs/>
          <w:sz w:val="18"/>
          <w:szCs w:val="16"/>
        </w:rPr>
        <w:t>Рис. 9.</w:t>
      </w:r>
      <w:r>
        <w:rPr>
          <w:i/>
          <w:iCs/>
          <w:sz w:val="18"/>
          <w:szCs w:val="16"/>
        </w:rPr>
        <w:t xml:space="preserve"> Эмиссионное распределение клада Красный десант 1970-х гг.</w:t>
      </w:r>
    </w:p>
    <w:p w14:paraId="650387A0" w14:textId="77777777" w:rsidR="00CD484C" w:rsidRDefault="00CD484C">
      <w:pPr>
        <w:tabs>
          <w:tab w:val="left" w:pos="567"/>
          <w:tab w:val="left" w:pos="2268"/>
          <w:tab w:val="left" w:pos="2694"/>
        </w:tabs>
        <w:ind w:firstLine="397"/>
        <w:jc w:val="both"/>
        <w:rPr>
          <w:sz w:val="16"/>
          <w:szCs w:val="16"/>
        </w:rPr>
      </w:pPr>
    </w:p>
    <w:p w14:paraId="5376F597" w14:textId="77777777" w:rsidR="00CD484C" w:rsidRDefault="00CD484C">
      <w:pPr>
        <w:tabs>
          <w:tab w:val="left" w:pos="567"/>
          <w:tab w:val="left" w:pos="2268"/>
          <w:tab w:val="left" w:pos="2694"/>
        </w:tabs>
        <w:ind w:firstLine="397"/>
        <w:jc w:val="both"/>
        <w:rPr>
          <w:sz w:val="20"/>
          <w:szCs w:val="16"/>
        </w:rPr>
      </w:pPr>
      <w:r>
        <w:rPr>
          <w:sz w:val="20"/>
          <w:szCs w:val="16"/>
        </w:rPr>
        <w:t>Изучение динамики выпадения монет «малых» династий в заквказских кладах показало, что далеко не все местные эмиссии были представлены в соответствующих депозитах. Это,  в свою очередь, позволяет высказать мнение об уходе монеты на внешние рынки, в том числе в Европу. Как показали специальные  исследования из Ирана через Азербайджан существовало 2 основных пути. Первый Ардебиль – Барда и второй Ленкорань – Баку</w:t>
      </w:r>
      <w:r>
        <w:rPr>
          <w:rStyle w:val="a6"/>
          <w:sz w:val="20"/>
          <w:szCs w:val="16"/>
        </w:rPr>
        <w:footnoteReference w:customMarkFollows="1" w:id="76"/>
        <w:t>29</w:t>
      </w:r>
      <w:r>
        <w:rPr>
          <w:sz w:val="20"/>
          <w:szCs w:val="16"/>
        </w:rPr>
        <w:t xml:space="preserve">. Наверное, по прикаспийскому пути саманидская монетная масса, подхватывая находящиеся на местных денежных рынках монеты, шла транзитом в Европу. </w:t>
      </w:r>
    </w:p>
    <w:p w14:paraId="15B89459" w14:textId="77777777" w:rsidR="00CD484C" w:rsidRDefault="00CD484C">
      <w:pPr>
        <w:tabs>
          <w:tab w:val="left" w:pos="567"/>
          <w:tab w:val="left" w:pos="2268"/>
          <w:tab w:val="left" w:pos="2694"/>
        </w:tabs>
        <w:ind w:firstLine="397"/>
        <w:jc w:val="both"/>
        <w:rPr>
          <w:sz w:val="20"/>
          <w:szCs w:val="16"/>
        </w:rPr>
      </w:pPr>
      <w:r>
        <w:rPr>
          <w:sz w:val="20"/>
          <w:szCs w:val="16"/>
        </w:rPr>
        <w:t>Младшая ХГ клада Яз-Кираги, демонстрирующая транзит бувейхидо-саманиждского потока в Европу в 940–950 х гг., позволяет предполагать, что Хазария направила торговый поток товаров на Ближний Восток, вероятно, используя его против Саманидов (Коновалова И.Г., 1997. – С. 26), проводя как видно самостоятельную торговую политику, поскольку как считает Т. Нунан /Th. Noonan/, в отношениях Хазарии и Византии превалировали не торговые отношения (Noonan Th., 1992. – С. 127). Материалы приведенных кладов, вместе с тем говорят как будто, о поисках саманидского – самаркандской прежде всего чеканки – дирхема второго пути в Европу в 930–950-х гг. в обход Хазарского моря.</w:t>
      </w:r>
    </w:p>
    <w:p w14:paraId="651FE2C9" w14:textId="77777777" w:rsidR="00CD484C" w:rsidRDefault="00CD484C">
      <w:pPr>
        <w:tabs>
          <w:tab w:val="left" w:pos="567"/>
          <w:tab w:val="left" w:pos="2268"/>
          <w:tab w:val="left" w:pos="2694"/>
        </w:tabs>
        <w:ind w:firstLine="397"/>
        <w:jc w:val="both"/>
        <w:rPr>
          <w:sz w:val="20"/>
          <w:szCs w:val="16"/>
        </w:rPr>
      </w:pPr>
      <w:r>
        <w:rPr>
          <w:sz w:val="20"/>
          <w:szCs w:val="16"/>
        </w:rPr>
        <w:lastRenderedPageBreak/>
        <w:t>Закавказские клады демонстрирует те же принципы распределения монет в процессе их движения от мест эмиссии к денежно-монетным рынкам, исследованных на материалах кладах Восточной Европы. Их особенность прежде всего заключается в сравнительно длинном хронологическом диапазоне чеканки (в кл. Яз-Кираги присутствуют даже сасанидские монеты). Но в целом основу денежного обращения в Закавказье составляли дирхемы, выпущенные в последние три десятилетия, предшествующие дате ММ, что подтверждает высказавшуюся В.Л. Яниным и А.В. Фоминым мысль о связи хронологического состава и даты младшей монеты. Географическая и хронологическая компактность, равноудаленность рассмотренных в очерке кладов от мест эмиссии позволяет изучать их в качестве единого комплекса, состоящего из трех частей. Сравнительная хронолого-династийная характеристика рассмотренных кладов при учете эмиссионного распределения монет показывает, что клад Яз-Кираги представлял собой ростовщическо-банковский капитал, в котором дензнаки постоянно вводились и/или выводились из обращения, имея виду «меченые» монеты. В кладе отложился всплеск саманидо-бувейхидской чеканки, предшествующей дате ММ. Отсутствие более позднего клада куфических монет в Закавказье не позволяет уверенно судить о причинах их сокрытия, тогда, как следует из положений отечественной науки, тезаврация средств в азербайджанских кладах не связана с замедлением темпа чеканки ирано-иракских и центральноазиатских монетных дворов, тогда как кл. Бзован, зафиксировавший последний мощный импульс аббасидской эмиссии, по-видимому, был зарыт в связи с военной опасностью, грозящей Двину, связанной с бувейхидо-саманидской экспансией.</w:t>
      </w:r>
    </w:p>
    <w:p w14:paraId="134C2BAA" w14:textId="77777777" w:rsidR="00CD484C" w:rsidRDefault="00CD484C">
      <w:pPr>
        <w:tabs>
          <w:tab w:val="left" w:pos="567"/>
          <w:tab w:val="left" w:pos="2268"/>
          <w:tab w:val="left" w:pos="2694"/>
        </w:tabs>
        <w:ind w:firstLine="397"/>
        <w:jc w:val="both"/>
        <w:rPr>
          <w:sz w:val="20"/>
          <w:szCs w:val="16"/>
        </w:rPr>
      </w:pPr>
      <w:r>
        <w:rPr>
          <w:sz w:val="20"/>
          <w:szCs w:val="16"/>
        </w:rPr>
        <w:t>Когда в истории Среднего Востока, вследствие большого хронологического диапазона в сравнении с русскими синхронными кладами рассматриваемых источников, свидетельствующего о преднамеренной задержке местным населением аббасидской, прежде всего, монеты. Это, явившееся результатом дефицита серебра на рынках Закавказья в VIII – первой половине Х вв., когда происходил взлет и постепенное угасание арабского Халифата, выразившемся в утере багдадских халифами светской власти.</w:t>
      </w:r>
    </w:p>
    <w:p w14:paraId="6C33C8C9" w14:textId="77777777" w:rsidR="00CD484C" w:rsidRDefault="00CD484C">
      <w:pPr>
        <w:tabs>
          <w:tab w:val="left" w:pos="567"/>
          <w:tab w:val="left" w:pos="2268"/>
          <w:tab w:val="left" w:pos="2694"/>
        </w:tabs>
        <w:ind w:firstLine="397"/>
        <w:jc w:val="both"/>
        <w:rPr>
          <w:sz w:val="20"/>
          <w:szCs w:val="16"/>
        </w:rPr>
      </w:pPr>
      <w:r>
        <w:rPr>
          <w:sz w:val="20"/>
          <w:szCs w:val="16"/>
        </w:rPr>
        <w:t xml:space="preserve">Изучение материалов Закавказских кладов, предпринятые в настоящей работе, безусловно, нуждаются в дальнейшей конкретизации и сопоставлении с материалами сопредельных территорий. Слабая изученность территории Юго-Западной Азии средствами восточной нумизматики, в отличии от других отраслей востоковедения, позволяет на данный момент судить о политической истории и состоянии денежного обращения лишь оценочными методами. В этой связи будет, как представляется весьма полезным привлечение хорошо апробированного и исследованного материалов кладов, выпавшие в Восточной и Северной Европе. </w:t>
      </w:r>
    </w:p>
    <w:p w14:paraId="19AAB16C" w14:textId="77777777" w:rsidR="00CD484C" w:rsidRDefault="00CD484C">
      <w:pPr>
        <w:ind w:firstLine="397"/>
        <w:jc w:val="both"/>
        <w:rPr>
          <w:sz w:val="20"/>
          <w:szCs w:val="16"/>
        </w:rPr>
      </w:pPr>
    </w:p>
    <w:p w14:paraId="44652D03" w14:textId="570B2E0D" w:rsidR="00CD484C" w:rsidRDefault="00395416">
      <w:pPr>
        <w:pStyle w:val="a3"/>
      </w:pPr>
      <w:r>
        <w:rPr>
          <w:noProof/>
        </w:rPr>
        <w:lastRenderedPageBreak/>
        <mc:AlternateContent>
          <mc:Choice Requires="wps">
            <w:drawing>
              <wp:anchor distT="0" distB="0" distL="114300" distR="114300" simplePos="0" relativeHeight="251667968" behindDoc="0" locked="1" layoutInCell="1" allowOverlap="1" wp14:anchorId="508FD7BF" wp14:editId="7E1A6E6C">
                <wp:simplePos x="0" y="0"/>
                <wp:positionH relativeFrom="column">
                  <wp:posOffset>0</wp:posOffset>
                </wp:positionH>
                <wp:positionV relativeFrom="paragraph">
                  <wp:posOffset>-440690</wp:posOffset>
                </wp:positionV>
                <wp:extent cx="4095750" cy="186690"/>
                <wp:effectExtent l="0" t="4445" r="3810" b="0"/>
                <wp:wrapNone/>
                <wp:docPr id="753765587"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B84CE"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0DD2B226"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FD7BF" id="Text Box 230" o:spid="_x0000_s1073" type="#_x0000_t202" style="position:absolute;left:0;text-align:left;margin-left:0;margin-top:-34.7pt;width:322.5pt;height:14.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AQ67wEAAMIDAAAOAAAAZHJzL2Uyb0RvYy54bWysU8Fu2zAMvQ/YPwi6L3aKNW2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" stroked="f">
                <v:textbox inset="0,0,0,0">
                  <w:txbxContent>
                    <w:p w14:paraId="4E6B84CE"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0DD2B226" w14:textId="77777777" w:rsidR="00AE2133" w:rsidRDefault="00AE2133">
                      <w:pPr>
                        <w:rPr>
                          <w:b/>
                          <w:bCs/>
                          <w:sz w:val="2"/>
                          <w:u w:val="single"/>
                        </w:rPr>
                      </w:pPr>
                    </w:p>
                  </w:txbxContent>
                </v:textbox>
                <w10:anchorlock/>
              </v:shape>
            </w:pict>
          </mc:Fallback>
        </mc:AlternateContent>
      </w:r>
      <w:r w:rsidR="00CD484C">
        <w:t>ОЧЕРК 5.</w:t>
      </w:r>
    </w:p>
    <w:p w14:paraId="787CAF71" w14:textId="77777777" w:rsidR="00CD484C" w:rsidRDefault="00CD484C">
      <w:pPr>
        <w:jc w:val="center"/>
        <w:rPr>
          <w:b/>
          <w:bCs/>
          <w:sz w:val="20"/>
          <w:szCs w:val="16"/>
        </w:rPr>
      </w:pPr>
      <w:r>
        <w:rPr>
          <w:b/>
          <w:bCs/>
          <w:sz w:val="20"/>
          <w:szCs w:val="16"/>
        </w:rPr>
        <w:t xml:space="preserve">ТОРГОВЫЕ СВЯЗИ ЦЕНТРАЛЬНОЙ АЗИИ, ИРАНА, </w:t>
      </w:r>
    </w:p>
    <w:p w14:paraId="62637CB5" w14:textId="77777777" w:rsidR="00CD484C" w:rsidRDefault="00CD484C">
      <w:pPr>
        <w:spacing w:after="120"/>
        <w:jc w:val="center"/>
        <w:rPr>
          <w:sz w:val="20"/>
          <w:szCs w:val="16"/>
        </w:rPr>
      </w:pPr>
      <w:r>
        <w:rPr>
          <w:b/>
          <w:bCs/>
          <w:sz w:val="20"/>
          <w:szCs w:val="16"/>
        </w:rPr>
        <w:t>АЗЕРБАЙДЖАНА И ЕВРОПЫ НА РУБЕЖЕ Х–XI вв.</w:t>
      </w:r>
    </w:p>
    <w:p w14:paraId="1DB412EF" w14:textId="77777777" w:rsidR="00CD484C" w:rsidRDefault="00CD484C">
      <w:pPr>
        <w:ind w:firstLine="397"/>
        <w:jc w:val="both"/>
        <w:rPr>
          <w:sz w:val="20"/>
          <w:szCs w:val="16"/>
        </w:rPr>
      </w:pPr>
      <w:r>
        <w:rPr>
          <w:sz w:val="20"/>
          <w:szCs w:val="16"/>
        </w:rPr>
        <w:t>Изучение эмиссионного распределения монет в рамках периодизации Фасмера – Янина может представлять значительный научный интерес в связи с выявлением процесса перемещения монетной массы от источников эмиссий до конечного потребителя, а также, в конечном итоге, установления мощности, хронологии чеканки тех или иных монетных дворов и  их роль в насыщении денежных рынков Европы восточным серебром. Наверное, клады, найденные наиболее близко от источника эмиссии показывают связи в области экономки и торговли, а также служат материальным свидетельством  преобразований в политической сфере в государствах-эмитентах.</w:t>
      </w:r>
    </w:p>
    <w:p w14:paraId="204712DF" w14:textId="77777777" w:rsidR="00CD484C" w:rsidRDefault="00CD484C">
      <w:pPr>
        <w:ind w:firstLine="397"/>
        <w:jc w:val="both"/>
        <w:rPr>
          <w:sz w:val="20"/>
          <w:szCs w:val="16"/>
        </w:rPr>
      </w:pPr>
      <w:r>
        <w:rPr>
          <w:sz w:val="20"/>
          <w:szCs w:val="16"/>
        </w:rPr>
        <w:t>В этой связи логичнее всего было бы рассмотреть эмиссионное распределение сначала в денежных рынках, наиболее приближенных к источникам монетных эмиссий, важнейшим из которых в Х в., как установлено Р.Р. Фасмером и В.Л. Яниным, является Волжская Булгария.</w:t>
      </w:r>
    </w:p>
    <w:p w14:paraId="61ABC9C1" w14:textId="77777777" w:rsidR="00CD484C" w:rsidRDefault="00CD484C">
      <w:pPr>
        <w:ind w:firstLine="397"/>
        <w:jc w:val="both"/>
        <w:rPr>
          <w:sz w:val="20"/>
          <w:szCs w:val="16"/>
        </w:rPr>
      </w:pPr>
      <w:r>
        <w:rPr>
          <w:sz w:val="20"/>
          <w:szCs w:val="16"/>
        </w:rPr>
        <w:t>Денежное обращение Волжской Булгарии – ворота куфического дирхема в Европу – начиная  с середины. Х в. характеризуется 2 типами кладов – клады, выпавшие из монетного потока, шедшего как по Волге, так и сухопутным путем и клады, образовавшиеся в результате внутреннего денежного обращения (Хан Н.А., 2001). /Рис. 1/.</w:t>
      </w:r>
    </w:p>
    <w:p w14:paraId="1667DBAA" w14:textId="77777777" w:rsidR="00CD484C" w:rsidRDefault="00CD484C">
      <w:pPr>
        <w:ind w:firstLine="397"/>
        <w:jc w:val="both"/>
        <w:rPr>
          <w:sz w:val="20"/>
          <w:szCs w:val="16"/>
        </w:rPr>
      </w:pPr>
      <w:r>
        <w:rPr>
          <w:sz w:val="20"/>
          <w:szCs w:val="16"/>
        </w:rPr>
        <w:t xml:space="preserve">Волжский путь документируется тремя кладами, состоящими целиком из монет династии Бувейхидов (Буидов), Они обнаружены как в с. Балымеры Спасского уезда Казанской губернии,  так и в Казани в 1855 г., сведения о которых стали известны науке, благодаря подвижничеству А.Ф. Лихачева и П.С. Савельева (Лихачев А.Ф., 1887; Изв. РАО, 1868. – </w:t>
      </w:r>
      <w:r>
        <w:rPr>
          <w:sz w:val="20"/>
          <w:szCs w:val="16"/>
        </w:rPr>
        <w:br/>
        <w:t xml:space="preserve">С. 243–244). </w:t>
      </w:r>
    </w:p>
    <w:p w14:paraId="2962C779" w14:textId="77777777" w:rsidR="00CD484C" w:rsidRDefault="00CD484C">
      <w:pPr>
        <w:ind w:firstLine="397"/>
        <w:jc w:val="both"/>
        <w:rPr>
          <w:sz w:val="20"/>
          <w:szCs w:val="16"/>
        </w:rPr>
      </w:pPr>
    </w:p>
    <w:p w14:paraId="4D8B4812" w14:textId="77777777" w:rsidR="00CD484C" w:rsidRDefault="00CD484C">
      <w:pPr>
        <w:jc w:val="center"/>
        <w:rPr>
          <w:i/>
          <w:iCs/>
          <w:sz w:val="12"/>
          <w:szCs w:val="16"/>
        </w:rPr>
      </w:pPr>
      <w:r>
        <w:rPr>
          <w:sz w:val="20"/>
          <w:szCs w:val="16"/>
        </w:rPr>
        <w:object w:dxaOrig="7139" w:dyaOrig="9683" w14:anchorId="0EA17296">
          <v:shape id="_x0000_i1031" type="#_x0000_t75" style="width:321.75pt;height:351pt" o:ole="" o:bordertopcolor="this" o:borderleftcolor="this" o:borderbottomcolor="this" o:borderrightcolor="this">
            <v:imagedata r:id="rId50" o:title="" cropbottom="10608f" cropright="2753f"/>
            <w10:bordertop type="single" width="4"/>
            <w10:borderleft type="single" width="4"/>
            <w10:borderbottom type="single" width="4"/>
            <w10:borderright type="single" width="4"/>
          </v:shape>
          <o:OLEObject Type="Embed" ProgID="PBrush" ShapeID="_x0000_i1031" DrawAspect="Content" ObjectID="_1816884171" r:id="rId51"/>
        </w:object>
      </w:r>
    </w:p>
    <w:p w14:paraId="7358AF94" w14:textId="77777777" w:rsidR="00CD484C" w:rsidRDefault="00CD484C">
      <w:pPr>
        <w:pStyle w:val="31"/>
        <w:rPr>
          <w:b/>
          <w:bCs/>
          <w:sz w:val="12"/>
        </w:rPr>
      </w:pPr>
    </w:p>
    <w:p w14:paraId="2C54C730" w14:textId="77777777" w:rsidR="00CD484C" w:rsidRDefault="00CD484C">
      <w:pPr>
        <w:pStyle w:val="31"/>
      </w:pPr>
      <w:r>
        <w:rPr>
          <w:b/>
          <w:bCs/>
        </w:rPr>
        <w:t>Рис. 1.</w:t>
      </w:r>
      <w:r>
        <w:t xml:space="preserve"> Карта-схема поступления восточных монет на среднюю Волгу </w:t>
      </w:r>
      <w:r>
        <w:br/>
        <w:t>в  конце X – начале XI в.</w:t>
      </w:r>
    </w:p>
    <w:p w14:paraId="4B6A512E" w14:textId="77777777" w:rsidR="00CD484C" w:rsidRDefault="00CD484C">
      <w:pPr>
        <w:pStyle w:val="31"/>
        <w:rPr>
          <w:sz w:val="6"/>
        </w:rPr>
      </w:pPr>
    </w:p>
    <w:p w14:paraId="48B93C42" w14:textId="77777777" w:rsidR="00CD484C" w:rsidRDefault="00CD484C">
      <w:pPr>
        <w:jc w:val="both"/>
        <w:rPr>
          <w:i/>
          <w:iCs/>
          <w:spacing w:val="-6"/>
          <w:sz w:val="18"/>
          <w:szCs w:val="16"/>
        </w:rPr>
      </w:pPr>
      <w:r>
        <w:rPr>
          <w:b/>
          <w:bCs/>
          <w:i/>
          <w:iCs/>
          <w:spacing w:val="-6"/>
          <w:sz w:val="18"/>
          <w:szCs w:val="16"/>
        </w:rPr>
        <w:t>а</w:t>
      </w:r>
      <w:r>
        <w:rPr>
          <w:i/>
          <w:iCs/>
          <w:spacing w:val="-6"/>
          <w:sz w:val="18"/>
          <w:szCs w:val="16"/>
        </w:rPr>
        <w:t xml:space="preserve"> – клады: 1 – Балымеры 1862 г.; 2 – Казань 1855 г.; 3 – Маклашевка 1856 г.; 4 – Чистопольский клад 1885 г.; 5 – Крещенный (Красный) баран 1905 г.; 6 – Абрлыга 1976 г.</w:t>
      </w:r>
    </w:p>
    <w:p w14:paraId="0549950F" w14:textId="77777777" w:rsidR="00CD484C" w:rsidRDefault="00CD484C">
      <w:pPr>
        <w:jc w:val="both"/>
        <w:rPr>
          <w:i/>
          <w:iCs/>
          <w:sz w:val="18"/>
          <w:szCs w:val="16"/>
        </w:rPr>
      </w:pPr>
      <w:r>
        <w:rPr>
          <w:b/>
          <w:bCs/>
          <w:i/>
          <w:iCs/>
          <w:sz w:val="18"/>
          <w:szCs w:val="16"/>
        </w:rPr>
        <w:t>б</w:t>
      </w:r>
      <w:r>
        <w:rPr>
          <w:i/>
          <w:iCs/>
          <w:sz w:val="18"/>
          <w:szCs w:val="16"/>
        </w:rPr>
        <w:t xml:space="preserve"> – города; </w:t>
      </w:r>
    </w:p>
    <w:p w14:paraId="72E81532" w14:textId="77777777" w:rsidR="00CD484C" w:rsidRDefault="00CD484C">
      <w:pPr>
        <w:jc w:val="both"/>
        <w:rPr>
          <w:i/>
          <w:iCs/>
          <w:sz w:val="18"/>
          <w:szCs w:val="16"/>
        </w:rPr>
      </w:pPr>
      <w:r>
        <w:rPr>
          <w:b/>
          <w:bCs/>
          <w:i/>
          <w:iCs/>
          <w:sz w:val="18"/>
          <w:szCs w:val="16"/>
        </w:rPr>
        <w:t>в</w:t>
      </w:r>
      <w:r>
        <w:rPr>
          <w:i/>
          <w:iCs/>
          <w:sz w:val="18"/>
          <w:szCs w:val="16"/>
        </w:rPr>
        <w:t xml:space="preserve"> – пути поступления монет на среднюю Волгу в конце Х – начале XI в.; </w:t>
      </w:r>
      <w:r>
        <w:rPr>
          <w:i/>
          <w:iCs/>
          <w:sz w:val="18"/>
          <w:szCs w:val="16"/>
        </w:rPr>
        <w:br/>
        <w:t xml:space="preserve">1 – поступление монет караханидского чекана; 2 – поступление саманидских монет;  3 – поступление бувейхидских монет. </w:t>
      </w:r>
    </w:p>
    <w:p w14:paraId="4C821A92" w14:textId="77777777" w:rsidR="00CD484C" w:rsidRDefault="00CD484C">
      <w:pPr>
        <w:jc w:val="both"/>
        <w:rPr>
          <w:i/>
          <w:iCs/>
          <w:sz w:val="18"/>
          <w:szCs w:val="16"/>
        </w:rPr>
      </w:pPr>
      <w:r>
        <w:rPr>
          <w:b/>
          <w:bCs/>
          <w:i/>
          <w:iCs/>
          <w:sz w:val="18"/>
          <w:szCs w:val="16"/>
        </w:rPr>
        <w:t>г</w:t>
      </w:r>
      <w:r>
        <w:rPr>
          <w:i/>
          <w:iCs/>
          <w:sz w:val="18"/>
          <w:szCs w:val="16"/>
        </w:rPr>
        <w:t xml:space="preserve"> – территория правления Фахр ад-Даулы.</w:t>
      </w:r>
    </w:p>
    <w:p w14:paraId="3642332C" w14:textId="77777777" w:rsidR="00CD484C" w:rsidRDefault="00CD484C">
      <w:pPr>
        <w:ind w:firstLine="397"/>
        <w:jc w:val="both"/>
        <w:rPr>
          <w:spacing w:val="-2"/>
          <w:sz w:val="16"/>
          <w:szCs w:val="16"/>
        </w:rPr>
      </w:pPr>
    </w:p>
    <w:p w14:paraId="24B1FA8C" w14:textId="77777777" w:rsidR="00CD484C" w:rsidRDefault="00CD484C">
      <w:pPr>
        <w:ind w:firstLine="397"/>
        <w:jc w:val="both"/>
        <w:rPr>
          <w:spacing w:val="-2"/>
          <w:sz w:val="16"/>
          <w:szCs w:val="16"/>
        </w:rPr>
      </w:pPr>
    </w:p>
    <w:p w14:paraId="5AE5A559" w14:textId="66DF9C67" w:rsidR="00CD484C" w:rsidRDefault="00395416">
      <w:pPr>
        <w:ind w:firstLine="397"/>
        <w:jc w:val="both"/>
        <w:rPr>
          <w:spacing w:val="-2"/>
          <w:sz w:val="20"/>
          <w:szCs w:val="16"/>
        </w:rPr>
      </w:pPr>
      <w:r>
        <w:rPr>
          <w:noProof/>
          <w:spacing w:val="-2"/>
          <w:sz w:val="20"/>
          <w:szCs w:val="16"/>
        </w:rPr>
        <w:lastRenderedPageBreak/>
        <mc:AlternateContent>
          <mc:Choice Requires="wps">
            <w:drawing>
              <wp:anchor distT="0" distB="0" distL="114300" distR="114300" simplePos="0" relativeHeight="251668992" behindDoc="0" locked="1" layoutInCell="1" allowOverlap="1" wp14:anchorId="39549128" wp14:editId="359316D4">
                <wp:simplePos x="0" y="0"/>
                <wp:positionH relativeFrom="column">
                  <wp:posOffset>0</wp:posOffset>
                </wp:positionH>
                <wp:positionV relativeFrom="paragraph">
                  <wp:posOffset>-252730</wp:posOffset>
                </wp:positionV>
                <wp:extent cx="4095750" cy="186690"/>
                <wp:effectExtent l="0" t="1905" r="3810" b="1905"/>
                <wp:wrapNone/>
                <wp:docPr id="213147135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289D4"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4FCE5A90"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49128" id="Text Box 231" o:spid="_x0000_s1074" type="#_x0000_t202" style="position:absolute;left:0;text-align:left;margin-left:0;margin-top:-19.9pt;width:322.5pt;height:14.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uDOWJ7wEAAMIDAAAOAAAAAAAAAAAAAAAAAC4CAABkcnMvZTJv&#10;RG9jLnhtbFBLAQItABQABgAIAAAAIQCnTgMH3gAAAAgBAAAPAAAAAAAAAAAAAAAAAEkEAABkcnMv&#10;ZG93bnJldi54bWxQSwUGAAAAAAQABADzAAAAVAUAAAAA&#10;" stroked="f">
                <v:textbox inset="0,0,0,0">
                  <w:txbxContent>
                    <w:p w14:paraId="2AE289D4"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4FCE5A90" w14:textId="77777777" w:rsidR="00AE2133" w:rsidRDefault="00AE2133">
                      <w:pPr>
                        <w:rPr>
                          <w:b/>
                          <w:bCs/>
                          <w:sz w:val="2"/>
                          <w:u w:val="single"/>
                        </w:rPr>
                      </w:pPr>
                    </w:p>
                  </w:txbxContent>
                </v:textbox>
                <w10:anchorlock/>
              </v:shape>
            </w:pict>
          </mc:Fallback>
        </mc:AlternateContent>
      </w:r>
      <w:r w:rsidR="00CD484C">
        <w:rPr>
          <w:spacing w:val="-2"/>
          <w:sz w:val="20"/>
          <w:szCs w:val="16"/>
        </w:rPr>
        <w:t>Можно только сожалеть, что все они неудовлетворительной сохранности, поскольку находчики не спешили предъявлять клады специалистам. В кладе Маклашевка 1856 г. (Янин В.Л., 1956. – С. 131; № 42)) было, надо полагать несколько тысяч монет, т.к. первооткрыватель наполнил ими «свой кафтан, которыми ими завалил, а остальными воспользовались другие». А.Ф. Лихачеву удалось приобрести только одну монету город?, год? битую от имени Адод ад-Даула Абу Мансур Бувейха (949–983). Больше «повезло» кладу, найденному в 1862 г., в с.Балымеры Спасского уезда Казанской губернии (Изв. РАО, с. 244. № 3; Марков А.К., 1910. – С. 10, № 53; Янин В.Л., 1956. – С. 131; № 43), состоящим целиком из монет династии Бувейхидов. Клад нуждается в датировке, и будем исходить прежде всего, из того обстоятельства, «...что для большего числа зарегистрированных кладов мы располагаем суммарным описанием, это позволяет и датировать из лишь суммарно, в пределах тех периодов, которые были установлены Р.Р. Фасмером» (Янин В.Л., 1956. – С. 71), поэтому уверенно отнести датировку данного клада серединой – концом Х в., но нам известны монеты, образовавшие младшую часть клада, эмитированные Фахр ад-Даула (984–997), то датировка клад не может выходить за пределы 997 г.</w:t>
      </w:r>
    </w:p>
    <w:p w14:paraId="37053507" w14:textId="77777777" w:rsidR="00CD484C" w:rsidRDefault="00CD484C">
      <w:pPr>
        <w:ind w:firstLine="397"/>
        <w:jc w:val="both"/>
        <w:rPr>
          <w:sz w:val="20"/>
          <w:szCs w:val="16"/>
        </w:rPr>
      </w:pPr>
      <w:r>
        <w:rPr>
          <w:sz w:val="20"/>
          <w:szCs w:val="16"/>
        </w:rPr>
        <w:t>Перед этим необходимо, на наш взгляд, рассмотреть Чистопольский клад 1885 г. Казанской губернии, 37 из 52 монет которого были опубликованы А.Ф. Лихачевым, т.к. 15, принадлежавшие чекану Фахр ад-Даула (12 экз.) и Мувейд ад-Даула (3 экз.) ввиду плохой сохранности Лихачевым были лишь осмотрены (Лихачев А.Ф., 1887. – С. 29). Однако его тщательная публикация позволяет в настоящее время уверенно осветить некоторые вопросы развития денежного обращения в Волжской Булгарии в конце Х – начале XI вв. Попытаемся осуществить эмиссионное распределение источника исходя из доминанты младшей монеты, тем более, как заметил еще первый публикатор, клад формировался между 367 и 384 г.х. (Лихачев А.Ф., 1887. – С. 4; Янин В.Л., 1956. – С. 131; № 47).  /Табл. 1/.</w:t>
      </w:r>
    </w:p>
    <w:p w14:paraId="5DD02462" w14:textId="77777777" w:rsidR="00CD484C" w:rsidRDefault="00CD484C">
      <w:pPr>
        <w:ind w:firstLine="397"/>
        <w:jc w:val="both"/>
        <w:rPr>
          <w:sz w:val="20"/>
          <w:szCs w:val="16"/>
        </w:rPr>
      </w:pPr>
      <w:r>
        <w:rPr>
          <w:sz w:val="20"/>
          <w:szCs w:val="16"/>
        </w:rPr>
        <w:t xml:space="preserve">В расчет принимаются 36 монет. В числителе указывается количество монет, в знаменателе его процентное отношение. </w:t>
      </w:r>
    </w:p>
    <w:p w14:paraId="1510B173" w14:textId="77777777" w:rsidR="00CD484C" w:rsidRDefault="00CD484C">
      <w:pPr>
        <w:ind w:firstLine="397"/>
        <w:jc w:val="both"/>
        <w:rPr>
          <w:sz w:val="20"/>
          <w:szCs w:val="16"/>
        </w:rPr>
      </w:pPr>
      <w:r>
        <w:rPr>
          <w:sz w:val="20"/>
          <w:szCs w:val="16"/>
        </w:rPr>
        <w:t>В рассматриваемом кладе  наиболее изменчивую часть составляют монеты, выпущенные в последние 20 лет предшествующие дате мл.монеты (ММ) – свыше 90%. Саманидских дирхемов за тот же период было всего 27,77 % (10) из которых 7, т.е. 70% новых.</w:t>
      </w:r>
    </w:p>
    <w:p w14:paraId="3C744731" w14:textId="77777777" w:rsidR="00CD484C" w:rsidRDefault="00CD484C">
      <w:pPr>
        <w:ind w:firstLine="397"/>
        <w:jc w:val="both"/>
        <w:rPr>
          <w:szCs w:val="16"/>
        </w:rPr>
      </w:pPr>
      <w:r>
        <w:rPr>
          <w:sz w:val="20"/>
          <w:szCs w:val="16"/>
        </w:rPr>
        <w:t>Прикаспийская составляющая клада  насчитывает 26 монет, прибавим сюда и 15 стертых также бувейхидских и тогда соотношение «западной» и «восточной» составляющих клад составит 41 к 10. Младшая монета (ММ) «восточной» чеканки представлена монетой Мерва 992 г., тогда как ММ чеканки «западной» – Джурджан 994 г. Становиться очевидным, что в Чистопольский клад 1885 г. образовался из двух составляющих  с лагом  в два года.</w:t>
      </w:r>
      <w:r>
        <w:rPr>
          <w:sz w:val="12"/>
          <w:szCs w:val="16"/>
        </w:rPr>
        <w:tab/>
      </w:r>
    </w:p>
    <w:p w14:paraId="53DC0867" w14:textId="77777777" w:rsidR="00CD484C" w:rsidRDefault="00CD484C">
      <w:pPr>
        <w:shd w:val="clear" w:color="auto" w:fill="FFFFFF"/>
        <w:ind w:firstLine="397"/>
        <w:jc w:val="right"/>
        <w:rPr>
          <w:i/>
          <w:iCs/>
          <w:sz w:val="20"/>
          <w:szCs w:val="16"/>
        </w:rPr>
      </w:pPr>
      <w:r>
        <w:rPr>
          <w:i/>
          <w:iCs/>
          <w:sz w:val="20"/>
          <w:szCs w:val="16"/>
        </w:rPr>
        <w:lastRenderedPageBreak/>
        <w:t xml:space="preserve">Таблица 1 </w:t>
      </w:r>
    </w:p>
    <w:p w14:paraId="3B3B3CF2" w14:textId="77777777" w:rsidR="00CD484C" w:rsidRDefault="00CD484C">
      <w:pPr>
        <w:pStyle w:val="8"/>
        <w:spacing w:after="80"/>
        <w:rPr>
          <w:bCs/>
        </w:rPr>
      </w:pPr>
      <w:r>
        <w:rPr>
          <w:bCs/>
        </w:rPr>
        <w:t>Эмиссионное распределение Чистопольского клада*</w:t>
      </w:r>
    </w:p>
    <w:tbl>
      <w:tblPr>
        <w:tblW w:w="5093" w:type="pct"/>
        <w:jc w:val="center"/>
        <w:tblBorders>
          <w:left w:val="dashSmallGap" w:sz="4" w:space="0" w:color="auto"/>
          <w:right w:val="dashSmallGap" w:sz="4" w:space="0" w:color="auto"/>
        </w:tblBorders>
        <w:tblCellMar>
          <w:left w:w="57" w:type="dxa"/>
          <w:right w:w="57" w:type="dxa"/>
        </w:tblCellMar>
        <w:tblLook w:val="0000" w:firstRow="0" w:lastRow="0" w:firstColumn="0" w:lastColumn="0" w:noHBand="0" w:noVBand="0"/>
      </w:tblPr>
      <w:tblGrid>
        <w:gridCol w:w="1060"/>
        <w:gridCol w:w="694"/>
        <w:gridCol w:w="691"/>
        <w:gridCol w:w="692"/>
        <w:gridCol w:w="662"/>
        <w:gridCol w:w="662"/>
        <w:gridCol w:w="645"/>
        <w:gridCol w:w="660"/>
        <w:gridCol w:w="750"/>
      </w:tblGrid>
      <w:tr w:rsidR="00CD484C" w14:paraId="708CA4C5" w14:textId="77777777">
        <w:trPr>
          <w:trHeight w:val="505"/>
          <w:jc w:val="center"/>
        </w:trPr>
        <w:tc>
          <w:tcPr>
            <w:tcW w:w="824" w:type="pct"/>
            <w:tcBorders>
              <w:right w:val="single" w:sz="24" w:space="0" w:color="FFFFFF"/>
            </w:tcBorders>
            <w:shd w:val="pct20" w:color="000000" w:fill="FFFFFF"/>
            <w:vAlign w:val="center"/>
          </w:tcPr>
          <w:p w14:paraId="6A9DEE79" w14:textId="77777777" w:rsidR="00CD484C" w:rsidRDefault="00CD484C">
            <w:pPr>
              <w:jc w:val="both"/>
              <w:rPr>
                <w:b/>
                <w:sz w:val="18"/>
                <w:szCs w:val="16"/>
              </w:rPr>
            </w:pPr>
          </w:p>
        </w:tc>
        <w:tc>
          <w:tcPr>
            <w:tcW w:w="543" w:type="pct"/>
            <w:tcBorders>
              <w:left w:val="single" w:sz="24" w:space="0" w:color="FFFFFF"/>
              <w:right w:val="single" w:sz="24" w:space="0" w:color="FFFFFF"/>
            </w:tcBorders>
            <w:shd w:val="pct20" w:color="000000" w:fill="FFFFFF"/>
            <w:vAlign w:val="center"/>
          </w:tcPr>
          <w:p w14:paraId="47D27AA3" w14:textId="77777777" w:rsidR="00CD484C" w:rsidRDefault="00CD484C">
            <w:pPr>
              <w:jc w:val="center"/>
              <w:rPr>
                <w:b/>
                <w:sz w:val="18"/>
                <w:szCs w:val="16"/>
              </w:rPr>
            </w:pPr>
            <w:r>
              <w:rPr>
                <w:b/>
                <w:sz w:val="18"/>
                <w:szCs w:val="16"/>
              </w:rPr>
              <w:t>915–924</w:t>
            </w:r>
          </w:p>
        </w:tc>
        <w:tc>
          <w:tcPr>
            <w:tcW w:w="541" w:type="pct"/>
            <w:tcBorders>
              <w:left w:val="single" w:sz="24" w:space="0" w:color="FFFFFF"/>
              <w:right w:val="single" w:sz="24" w:space="0" w:color="FFFFFF"/>
            </w:tcBorders>
            <w:shd w:val="pct20" w:color="000000" w:fill="FFFFFF"/>
            <w:vAlign w:val="center"/>
          </w:tcPr>
          <w:p w14:paraId="70B7A185" w14:textId="77777777" w:rsidR="00CD484C" w:rsidRDefault="00CD484C">
            <w:pPr>
              <w:jc w:val="center"/>
              <w:rPr>
                <w:b/>
                <w:sz w:val="18"/>
                <w:szCs w:val="16"/>
              </w:rPr>
            </w:pPr>
            <w:r>
              <w:rPr>
                <w:b/>
                <w:sz w:val="18"/>
                <w:szCs w:val="16"/>
              </w:rPr>
              <w:t>925–934</w:t>
            </w:r>
          </w:p>
        </w:tc>
        <w:tc>
          <w:tcPr>
            <w:tcW w:w="542" w:type="pct"/>
            <w:tcBorders>
              <w:left w:val="single" w:sz="24" w:space="0" w:color="FFFFFF"/>
              <w:right w:val="single" w:sz="24" w:space="0" w:color="FFFFFF"/>
            </w:tcBorders>
            <w:shd w:val="pct20" w:color="000000" w:fill="FFFFFF"/>
            <w:vAlign w:val="center"/>
          </w:tcPr>
          <w:p w14:paraId="4FBC5125" w14:textId="77777777" w:rsidR="00CD484C" w:rsidRDefault="00CD484C">
            <w:pPr>
              <w:ind w:hanging="6"/>
              <w:jc w:val="center"/>
              <w:rPr>
                <w:b/>
                <w:sz w:val="18"/>
                <w:szCs w:val="16"/>
              </w:rPr>
            </w:pPr>
            <w:r>
              <w:rPr>
                <w:b/>
                <w:sz w:val="18"/>
                <w:szCs w:val="16"/>
              </w:rPr>
              <w:t>935–944</w:t>
            </w:r>
          </w:p>
        </w:tc>
        <w:tc>
          <w:tcPr>
            <w:tcW w:w="518" w:type="pct"/>
            <w:tcBorders>
              <w:left w:val="single" w:sz="24" w:space="0" w:color="FFFFFF"/>
              <w:right w:val="single" w:sz="24" w:space="0" w:color="FFFFFF"/>
            </w:tcBorders>
            <w:shd w:val="pct20" w:color="000000" w:fill="FFFFFF"/>
            <w:vAlign w:val="center"/>
          </w:tcPr>
          <w:p w14:paraId="0681CC97" w14:textId="77777777" w:rsidR="00CD484C" w:rsidRDefault="00CD484C">
            <w:pPr>
              <w:jc w:val="center"/>
              <w:rPr>
                <w:b/>
                <w:sz w:val="18"/>
                <w:szCs w:val="16"/>
              </w:rPr>
            </w:pPr>
            <w:r>
              <w:rPr>
                <w:b/>
                <w:sz w:val="18"/>
                <w:szCs w:val="16"/>
              </w:rPr>
              <w:t>945–954</w:t>
            </w:r>
          </w:p>
        </w:tc>
        <w:tc>
          <w:tcPr>
            <w:tcW w:w="511" w:type="pct"/>
            <w:tcBorders>
              <w:left w:val="single" w:sz="24" w:space="0" w:color="FFFFFF"/>
              <w:right w:val="single" w:sz="24" w:space="0" w:color="FFFFFF"/>
            </w:tcBorders>
            <w:shd w:val="pct20" w:color="000000" w:fill="FFFFFF"/>
            <w:vAlign w:val="center"/>
          </w:tcPr>
          <w:p w14:paraId="3C926FA8" w14:textId="77777777" w:rsidR="00CD484C" w:rsidRDefault="00CD484C">
            <w:pPr>
              <w:ind w:hanging="20"/>
              <w:jc w:val="center"/>
              <w:rPr>
                <w:b/>
                <w:sz w:val="18"/>
                <w:szCs w:val="16"/>
              </w:rPr>
            </w:pPr>
            <w:r>
              <w:rPr>
                <w:b/>
                <w:sz w:val="18"/>
                <w:szCs w:val="16"/>
              </w:rPr>
              <w:t>955–964</w:t>
            </w:r>
          </w:p>
        </w:tc>
        <w:tc>
          <w:tcPr>
            <w:tcW w:w="505" w:type="pct"/>
            <w:tcBorders>
              <w:left w:val="single" w:sz="24" w:space="0" w:color="FFFFFF"/>
              <w:right w:val="single" w:sz="24" w:space="0" w:color="FFFFFF"/>
            </w:tcBorders>
            <w:shd w:val="pct20" w:color="000000" w:fill="FFFFFF"/>
            <w:vAlign w:val="center"/>
          </w:tcPr>
          <w:p w14:paraId="58D25FB7" w14:textId="77777777" w:rsidR="00CD484C" w:rsidRDefault="00CD484C">
            <w:pPr>
              <w:jc w:val="center"/>
              <w:rPr>
                <w:b/>
                <w:sz w:val="18"/>
                <w:szCs w:val="16"/>
              </w:rPr>
            </w:pPr>
            <w:r>
              <w:rPr>
                <w:b/>
                <w:sz w:val="18"/>
                <w:szCs w:val="16"/>
              </w:rPr>
              <w:t>965–974</w:t>
            </w:r>
          </w:p>
        </w:tc>
        <w:tc>
          <w:tcPr>
            <w:tcW w:w="489" w:type="pct"/>
            <w:tcBorders>
              <w:left w:val="single" w:sz="24" w:space="0" w:color="FFFFFF"/>
              <w:right w:val="single" w:sz="24" w:space="0" w:color="FFFFFF"/>
            </w:tcBorders>
            <w:shd w:val="pct20" w:color="000000" w:fill="FFFFFF"/>
            <w:vAlign w:val="center"/>
          </w:tcPr>
          <w:p w14:paraId="19AEC799" w14:textId="77777777" w:rsidR="00CD484C" w:rsidRDefault="00CD484C">
            <w:pPr>
              <w:jc w:val="center"/>
              <w:rPr>
                <w:b/>
                <w:sz w:val="18"/>
                <w:szCs w:val="16"/>
              </w:rPr>
            </w:pPr>
            <w:r>
              <w:rPr>
                <w:b/>
                <w:sz w:val="18"/>
                <w:szCs w:val="16"/>
              </w:rPr>
              <w:t>975–984</w:t>
            </w:r>
          </w:p>
        </w:tc>
        <w:tc>
          <w:tcPr>
            <w:tcW w:w="526" w:type="pct"/>
            <w:tcBorders>
              <w:left w:val="single" w:sz="24" w:space="0" w:color="FFFFFF"/>
            </w:tcBorders>
            <w:shd w:val="pct20" w:color="000000" w:fill="FFFFFF"/>
            <w:vAlign w:val="center"/>
          </w:tcPr>
          <w:p w14:paraId="612C036F" w14:textId="77777777" w:rsidR="00CD484C" w:rsidRDefault="00CD484C">
            <w:pPr>
              <w:jc w:val="center"/>
              <w:rPr>
                <w:b/>
                <w:sz w:val="18"/>
                <w:szCs w:val="16"/>
              </w:rPr>
            </w:pPr>
            <w:r>
              <w:rPr>
                <w:b/>
                <w:sz w:val="18"/>
                <w:szCs w:val="16"/>
              </w:rPr>
              <w:t>985–994</w:t>
            </w:r>
          </w:p>
        </w:tc>
      </w:tr>
      <w:tr w:rsidR="00CD484C" w14:paraId="70A66E8C" w14:textId="77777777">
        <w:trPr>
          <w:trHeight w:val="132"/>
          <w:jc w:val="center"/>
        </w:trPr>
        <w:tc>
          <w:tcPr>
            <w:tcW w:w="824" w:type="pct"/>
            <w:tcBorders>
              <w:bottom w:val="single" w:sz="24" w:space="0" w:color="FFFFFF"/>
              <w:right w:val="single" w:sz="24" w:space="0" w:color="FFFFFF"/>
            </w:tcBorders>
            <w:shd w:val="pct5" w:color="000000" w:fill="FFFFFF"/>
            <w:vAlign w:val="center"/>
          </w:tcPr>
          <w:p w14:paraId="5E9A0589" w14:textId="77777777" w:rsidR="00CD484C" w:rsidRDefault="00CD484C">
            <w:pPr>
              <w:jc w:val="both"/>
              <w:rPr>
                <w:sz w:val="18"/>
                <w:szCs w:val="16"/>
              </w:rPr>
            </w:pPr>
            <w:r>
              <w:rPr>
                <w:sz w:val="18"/>
                <w:szCs w:val="16"/>
              </w:rPr>
              <w:t>Шаш</w:t>
            </w:r>
          </w:p>
        </w:tc>
        <w:tc>
          <w:tcPr>
            <w:tcW w:w="543" w:type="pct"/>
            <w:tcBorders>
              <w:left w:val="single" w:sz="24" w:space="0" w:color="FFFFFF"/>
              <w:bottom w:val="single" w:sz="24" w:space="0" w:color="FFFFFF"/>
              <w:right w:val="single" w:sz="24" w:space="0" w:color="FFFFFF"/>
            </w:tcBorders>
            <w:shd w:val="pct5" w:color="000000" w:fill="FFFFFF"/>
            <w:vAlign w:val="center"/>
          </w:tcPr>
          <w:p w14:paraId="55D34F3B" w14:textId="77777777" w:rsidR="00CD484C" w:rsidRDefault="00CD484C">
            <w:pPr>
              <w:jc w:val="center"/>
              <w:rPr>
                <w:sz w:val="18"/>
                <w:szCs w:val="16"/>
              </w:rPr>
            </w:pPr>
          </w:p>
        </w:tc>
        <w:tc>
          <w:tcPr>
            <w:tcW w:w="541" w:type="pct"/>
            <w:tcBorders>
              <w:left w:val="single" w:sz="24" w:space="0" w:color="FFFFFF"/>
              <w:bottom w:val="single" w:sz="24" w:space="0" w:color="FFFFFF"/>
              <w:right w:val="single" w:sz="24" w:space="0" w:color="FFFFFF"/>
            </w:tcBorders>
            <w:shd w:val="pct5" w:color="000000" w:fill="FFFFFF"/>
            <w:vAlign w:val="center"/>
          </w:tcPr>
          <w:p w14:paraId="26936AF1" w14:textId="77777777" w:rsidR="00CD484C" w:rsidRDefault="00CD484C">
            <w:pPr>
              <w:jc w:val="center"/>
              <w:rPr>
                <w:sz w:val="18"/>
                <w:szCs w:val="16"/>
              </w:rPr>
            </w:pPr>
          </w:p>
        </w:tc>
        <w:tc>
          <w:tcPr>
            <w:tcW w:w="542" w:type="pct"/>
            <w:tcBorders>
              <w:left w:val="single" w:sz="24" w:space="0" w:color="FFFFFF"/>
              <w:bottom w:val="single" w:sz="24" w:space="0" w:color="FFFFFF"/>
              <w:right w:val="single" w:sz="24" w:space="0" w:color="FFFFFF"/>
            </w:tcBorders>
            <w:shd w:val="pct5" w:color="000000" w:fill="FFFFFF"/>
            <w:vAlign w:val="center"/>
          </w:tcPr>
          <w:p w14:paraId="007A7799" w14:textId="77777777" w:rsidR="00CD484C" w:rsidRDefault="00CD484C">
            <w:pPr>
              <w:ind w:hanging="6"/>
              <w:jc w:val="center"/>
              <w:rPr>
                <w:sz w:val="18"/>
                <w:szCs w:val="16"/>
              </w:rPr>
            </w:pPr>
          </w:p>
        </w:tc>
        <w:tc>
          <w:tcPr>
            <w:tcW w:w="518" w:type="pct"/>
            <w:tcBorders>
              <w:left w:val="single" w:sz="24" w:space="0" w:color="FFFFFF"/>
              <w:bottom w:val="single" w:sz="24" w:space="0" w:color="FFFFFF"/>
              <w:right w:val="single" w:sz="24" w:space="0" w:color="FFFFFF"/>
            </w:tcBorders>
            <w:shd w:val="pct5" w:color="000000" w:fill="FFFFFF"/>
            <w:vAlign w:val="center"/>
          </w:tcPr>
          <w:p w14:paraId="754AC61A" w14:textId="77777777" w:rsidR="00CD484C" w:rsidRDefault="00CD484C">
            <w:pPr>
              <w:jc w:val="center"/>
              <w:rPr>
                <w:sz w:val="18"/>
                <w:szCs w:val="16"/>
              </w:rPr>
            </w:pPr>
          </w:p>
        </w:tc>
        <w:tc>
          <w:tcPr>
            <w:tcW w:w="511" w:type="pct"/>
            <w:tcBorders>
              <w:left w:val="single" w:sz="24" w:space="0" w:color="FFFFFF"/>
              <w:bottom w:val="single" w:sz="24" w:space="0" w:color="FFFFFF"/>
              <w:right w:val="single" w:sz="24" w:space="0" w:color="FFFFFF"/>
            </w:tcBorders>
            <w:shd w:val="pct5" w:color="000000" w:fill="FFFFFF"/>
            <w:vAlign w:val="center"/>
          </w:tcPr>
          <w:p w14:paraId="509EC304" w14:textId="77777777" w:rsidR="00CD484C" w:rsidRDefault="00CD484C">
            <w:pPr>
              <w:ind w:hanging="20"/>
              <w:jc w:val="center"/>
              <w:rPr>
                <w:sz w:val="18"/>
                <w:szCs w:val="16"/>
              </w:rPr>
            </w:pPr>
          </w:p>
        </w:tc>
        <w:tc>
          <w:tcPr>
            <w:tcW w:w="505" w:type="pct"/>
            <w:tcBorders>
              <w:left w:val="single" w:sz="24" w:space="0" w:color="FFFFFF"/>
              <w:bottom w:val="single" w:sz="24" w:space="0" w:color="FFFFFF"/>
              <w:right w:val="single" w:sz="24" w:space="0" w:color="FFFFFF"/>
            </w:tcBorders>
            <w:shd w:val="pct5" w:color="000000" w:fill="FFFFFF"/>
            <w:vAlign w:val="center"/>
          </w:tcPr>
          <w:p w14:paraId="75AC414C" w14:textId="77777777" w:rsidR="00CD484C" w:rsidRDefault="00CD484C">
            <w:pPr>
              <w:jc w:val="center"/>
              <w:rPr>
                <w:sz w:val="18"/>
                <w:szCs w:val="16"/>
              </w:rPr>
            </w:pPr>
          </w:p>
        </w:tc>
        <w:tc>
          <w:tcPr>
            <w:tcW w:w="489" w:type="pct"/>
            <w:tcBorders>
              <w:left w:val="single" w:sz="24" w:space="0" w:color="FFFFFF"/>
              <w:bottom w:val="single" w:sz="24" w:space="0" w:color="FFFFFF"/>
              <w:right w:val="single" w:sz="24" w:space="0" w:color="FFFFFF"/>
            </w:tcBorders>
            <w:shd w:val="pct5" w:color="000000" w:fill="FFFFFF"/>
            <w:vAlign w:val="center"/>
          </w:tcPr>
          <w:p w14:paraId="6C52006F" w14:textId="77777777" w:rsidR="00CD484C" w:rsidRDefault="00CD484C">
            <w:pPr>
              <w:jc w:val="center"/>
              <w:rPr>
                <w:sz w:val="18"/>
                <w:szCs w:val="16"/>
              </w:rPr>
            </w:pPr>
            <w:r>
              <w:rPr>
                <w:sz w:val="18"/>
                <w:szCs w:val="16"/>
              </w:rPr>
              <w:t>1/2,8</w:t>
            </w:r>
          </w:p>
        </w:tc>
        <w:tc>
          <w:tcPr>
            <w:tcW w:w="526" w:type="pct"/>
            <w:tcBorders>
              <w:left w:val="single" w:sz="24" w:space="0" w:color="FFFFFF"/>
              <w:bottom w:val="single" w:sz="24" w:space="0" w:color="FFFFFF"/>
            </w:tcBorders>
            <w:shd w:val="pct5" w:color="000000" w:fill="FFFFFF"/>
            <w:vAlign w:val="center"/>
          </w:tcPr>
          <w:p w14:paraId="20E79E08" w14:textId="77777777" w:rsidR="00CD484C" w:rsidRDefault="00CD484C">
            <w:pPr>
              <w:jc w:val="center"/>
              <w:rPr>
                <w:sz w:val="18"/>
                <w:szCs w:val="16"/>
              </w:rPr>
            </w:pPr>
          </w:p>
        </w:tc>
      </w:tr>
      <w:tr w:rsidR="00CD484C" w14:paraId="57B9FB6D" w14:textId="77777777">
        <w:trPr>
          <w:trHeight w:val="186"/>
          <w:jc w:val="center"/>
        </w:trPr>
        <w:tc>
          <w:tcPr>
            <w:tcW w:w="824" w:type="pct"/>
            <w:tcBorders>
              <w:top w:val="nil"/>
              <w:bottom w:val="single" w:sz="24" w:space="0" w:color="FFFFFF"/>
              <w:right w:val="single" w:sz="24" w:space="0" w:color="FFFFFF"/>
            </w:tcBorders>
            <w:shd w:val="pct20" w:color="000000" w:fill="FFFFFF"/>
            <w:vAlign w:val="center"/>
          </w:tcPr>
          <w:p w14:paraId="3BEBE24D" w14:textId="77777777" w:rsidR="00CD484C" w:rsidRDefault="00CD484C">
            <w:pPr>
              <w:jc w:val="both"/>
              <w:rPr>
                <w:sz w:val="18"/>
                <w:szCs w:val="16"/>
              </w:rPr>
            </w:pPr>
            <w:r>
              <w:rPr>
                <w:sz w:val="18"/>
                <w:szCs w:val="16"/>
              </w:rPr>
              <w:t>Мерв</w:t>
            </w:r>
          </w:p>
        </w:tc>
        <w:tc>
          <w:tcPr>
            <w:tcW w:w="543" w:type="pct"/>
            <w:tcBorders>
              <w:top w:val="nil"/>
              <w:left w:val="single" w:sz="24" w:space="0" w:color="FFFFFF"/>
              <w:bottom w:val="single" w:sz="24" w:space="0" w:color="FFFFFF"/>
              <w:right w:val="single" w:sz="24" w:space="0" w:color="FFFFFF"/>
            </w:tcBorders>
            <w:shd w:val="pct20" w:color="000000" w:fill="FFFFFF"/>
            <w:vAlign w:val="center"/>
          </w:tcPr>
          <w:p w14:paraId="63557E1C" w14:textId="77777777" w:rsidR="00CD484C" w:rsidRDefault="00CD484C">
            <w:pPr>
              <w:jc w:val="center"/>
              <w:rPr>
                <w:sz w:val="18"/>
                <w:szCs w:val="16"/>
              </w:rPr>
            </w:pPr>
          </w:p>
        </w:tc>
        <w:tc>
          <w:tcPr>
            <w:tcW w:w="541" w:type="pct"/>
            <w:tcBorders>
              <w:top w:val="nil"/>
              <w:left w:val="single" w:sz="24" w:space="0" w:color="FFFFFF"/>
              <w:bottom w:val="single" w:sz="24" w:space="0" w:color="FFFFFF"/>
              <w:right w:val="single" w:sz="24" w:space="0" w:color="FFFFFF"/>
            </w:tcBorders>
            <w:shd w:val="pct20" w:color="000000" w:fill="FFFFFF"/>
            <w:vAlign w:val="center"/>
          </w:tcPr>
          <w:p w14:paraId="61D3E5B7" w14:textId="77777777" w:rsidR="00CD484C" w:rsidRDefault="00CD484C">
            <w:pPr>
              <w:jc w:val="center"/>
              <w:rPr>
                <w:sz w:val="18"/>
                <w:szCs w:val="16"/>
              </w:rPr>
            </w:pPr>
          </w:p>
        </w:tc>
        <w:tc>
          <w:tcPr>
            <w:tcW w:w="542" w:type="pct"/>
            <w:tcBorders>
              <w:top w:val="nil"/>
              <w:left w:val="single" w:sz="24" w:space="0" w:color="FFFFFF"/>
              <w:bottom w:val="single" w:sz="24" w:space="0" w:color="FFFFFF"/>
              <w:right w:val="single" w:sz="24" w:space="0" w:color="FFFFFF"/>
            </w:tcBorders>
            <w:shd w:val="pct20" w:color="000000" w:fill="FFFFFF"/>
            <w:vAlign w:val="center"/>
          </w:tcPr>
          <w:p w14:paraId="19208CC0" w14:textId="77777777" w:rsidR="00CD484C" w:rsidRDefault="00CD484C">
            <w:pPr>
              <w:ind w:hanging="6"/>
              <w:jc w:val="center"/>
              <w:rPr>
                <w:sz w:val="18"/>
                <w:szCs w:val="16"/>
              </w:rPr>
            </w:pPr>
          </w:p>
        </w:tc>
        <w:tc>
          <w:tcPr>
            <w:tcW w:w="518" w:type="pct"/>
            <w:tcBorders>
              <w:top w:val="nil"/>
              <w:left w:val="single" w:sz="24" w:space="0" w:color="FFFFFF"/>
              <w:bottom w:val="single" w:sz="24" w:space="0" w:color="FFFFFF"/>
              <w:right w:val="single" w:sz="24" w:space="0" w:color="FFFFFF"/>
            </w:tcBorders>
            <w:shd w:val="pct20" w:color="000000" w:fill="FFFFFF"/>
            <w:vAlign w:val="center"/>
          </w:tcPr>
          <w:p w14:paraId="10C4717A" w14:textId="77777777" w:rsidR="00CD484C" w:rsidRDefault="00CD484C">
            <w:pPr>
              <w:jc w:val="center"/>
              <w:rPr>
                <w:sz w:val="18"/>
                <w:szCs w:val="16"/>
              </w:rPr>
            </w:pPr>
          </w:p>
        </w:tc>
        <w:tc>
          <w:tcPr>
            <w:tcW w:w="511" w:type="pct"/>
            <w:tcBorders>
              <w:top w:val="nil"/>
              <w:left w:val="single" w:sz="24" w:space="0" w:color="FFFFFF"/>
              <w:bottom w:val="single" w:sz="24" w:space="0" w:color="FFFFFF"/>
              <w:right w:val="single" w:sz="24" w:space="0" w:color="FFFFFF"/>
            </w:tcBorders>
            <w:shd w:val="pct20" w:color="000000" w:fill="FFFFFF"/>
            <w:vAlign w:val="center"/>
          </w:tcPr>
          <w:p w14:paraId="5B4212FC" w14:textId="77777777" w:rsidR="00CD484C" w:rsidRDefault="00CD484C">
            <w:pPr>
              <w:ind w:hanging="20"/>
              <w:jc w:val="center"/>
              <w:rPr>
                <w:sz w:val="18"/>
                <w:szCs w:val="16"/>
              </w:rPr>
            </w:pPr>
          </w:p>
        </w:tc>
        <w:tc>
          <w:tcPr>
            <w:tcW w:w="505" w:type="pct"/>
            <w:tcBorders>
              <w:top w:val="nil"/>
              <w:left w:val="single" w:sz="24" w:space="0" w:color="FFFFFF"/>
              <w:bottom w:val="single" w:sz="24" w:space="0" w:color="FFFFFF"/>
              <w:right w:val="single" w:sz="24" w:space="0" w:color="FFFFFF"/>
            </w:tcBorders>
            <w:shd w:val="pct20" w:color="000000" w:fill="FFFFFF"/>
            <w:vAlign w:val="center"/>
          </w:tcPr>
          <w:p w14:paraId="10DF3A32" w14:textId="77777777" w:rsidR="00CD484C" w:rsidRDefault="00CD484C">
            <w:pPr>
              <w:jc w:val="center"/>
              <w:rPr>
                <w:sz w:val="18"/>
                <w:szCs w:val="16"/>
              </w:rPr>
            </w:pPr>
          </w:p>
        </w:tc>
        <w:tc>
          <w:tcPr>
            <w:tcW w:w="489" w:type="pct"/>
            <w:tcBorders>
              <w:top w:val="nil"/>
              <w:left w:val="single" w:sz="24" w:space="0" w:color="FFFFFF"/>
              <w:bottom w:val="single" w:sz="24" w:space="0" w:color="FFFFFF"/>
              <w:right w:val="single" w:sz="24" w:space="0" w:color="FFFFFF"/>
            </w:tcBorders>
            <w:shd w:val="pct20" w:color="000000" w:fill="FFFFFF"/>
            <w:vAlign w:val="center"/>
          </w:tcPr>
          <w:p w14:paraId="5EC8522D" w14:textId="77777777" w:rsidR="00CD484C" w:rsidRDefault="00CD484C">
            <w:pPr>
              <w:jc w:val="center"/>
              <w:rPr>
                <w:sz w:val="18"/>
                <w:szCs w:val="16"/>
              </w:rPr>
            </w:pPr>
          </w:p>
        </w:tc>
        <w:tc>
          <w:tcPr>
            <w:tcW w:w="526" w:type="pct"/>
            <w:tcBorders>
              <w:top w:val="nil"/>
              <w:left w:val="single" w:sz="24" w:space="0" w:color="FFFFFF"/>
              <w:bottom w:val="single" w:sz="24" w:space="0" w:color="FFFFFF"/>
            </w:tcBorders>
            <w:shd w:val="pct20" w:color="000000" w:fill="FFFFFF"/>
            <w:vAlign w:val="center"/>
          </w:tcPr>
          <w:p w14:paraId="46056329" w14:textId="77777777" w:rsidR="00CD484C" w:rsidRDefault="00CD484C">
            <w:pPr>
              <w:jc w:val="center"/>
              <w:rPr>
                <w:sz w:val="18"/>
                <w:szCs w:val="16"/>
              </w:rPr>
            </w:pPr>
            <w:r>
              <w:rPr>
                <w:sz w:val="18"/>
                <w:szCs w:val="16"/>
              </w:rPr>
              <w:t>1/2,8</w:t>
            </w:r>
          </w:p>
        </w:tc>
      </w:tr>
      <w:tr w:rsidR="00CD484C" w14:paraId="4B08F590" w14:textId="77777777">
        <w:trPr>
          <w:trHeight w:val="170"/>
          <w:jc w:val="center"/>
        </w:trPr>
        <w:tc>
          <w:tcPr>
            <w:tcW w:w="824" w:type="pct"/>
            <w:tcBorders>
              <w:top w:val="nil"/>
              <w:bottom w:val="single" w:sz="24" w:space="0" w:color="FFFFFF"/>
              <w:right w:val="single" w:sz="24" w:space="0" w:color="FFFFFF"/>
            </w:tcBorders>
            <w:shd w:val="pct5" w:color="000000" w:fill="FFFFFF"/>
            <w:vAlign w:val="center"/>
          </w:tcPr>
          <w:p w14:paraId="14EF7525" w14:textId="77777777" w:rsidR="00CD484C" w:rsidRDefault="00CD484C">
            <w:pPr>
              <w:jc w:val="both"/>
              <w:rPr>
                <w:sz w:val="18"/>
                <w:szCs w:val="16"/>
              </w:rPr>
            </w:pPr>
            <w:r>
              <w:rPr>
                <w:sz w:val="18"/>
                <w:szCs w:val="16"/>
              </w:rPr>
              <w:t>Самарканд</w:t>
            </w:r>
          </w:p>
        </w:tc>
        <w:tc>
          <w:tcPr>
            <w:tcW w:w="543" w:type="pct"/>
            <w:tcBorders>
              <w:top w:val="nil"/>
              <w:left w:val="single" w:sz="24" w:space="0" w:color="FFFFFF"/>
              <w:bottom w:val="single" w:sz="24" w:space="0" w:color="FFFFFF"/>
              <w:right w:val="single" w:sz="24" w:space="0" w:color="FFFFFF"/>
            </w:tcBorders>
            <w:shd w:val="pct5" w:color="000000" w:fill="FFFFFF"/>
            <w:vAlign w:val="center"/>
          </w:tcPr>
          <w:p w14:paraId="416DB92D" w14:textId="77777777" w:rsidR="00CD484C" w:rsidRDefault="00CD484C">
            <w:pPr>
              <w:jc w:val="center"/>
              <w:rPr>
                <w:sz w:val="18"/>
                <w:szCs w:val="16"/>
              </w:rPr>
            </w:pPr>
            <w:r>
              <w:rPr>
                <w:sz w:val="18"/>
                <w:szCs w:val="16"/>
              </w:rPr>
              <w:t>1/2,8</w:t>
            </w:r>
          </w:p>
        </w:tc>
        <w:tc>
          <w:tcPr>
            <w:tcW w:w="541" w:type="pct"/>
            <w:tcBorders>
              <w:top w:val="nil"/>
              <w:left w:val="single" w:sz="24" w:space="0" w:color="FFFFFF"/>
              <w:bottom w:val="single" w:sz="24" w:space="0" w:color="FFFFFF"/>
              <w:right w:val="single" w:sz="24" w:space="0" w:color="FFFFFF"/>
            </w:tcBorders>
            <w:shd w:val="pct5" w:color="000000" w:fill="FFFFFF"/>
            <w:vAlign w:val="center"/>
          </w:tcPr>
          <w:p w14:paraId="2965B7AF" w14:textId="77777777" w:rsidR="00CD484C" w:rsidRDefault="00CD484C">
            <w:pPr>
              <w:jc w:val="center"/>
              <w:rPr>
                <w:sz w:val="18"/>
                <w:szCs w:val="16"/>
              </w:rPr>
            </w:pPr>
          </w:p>
        </w:tc>
        <w:tc>
          <w:tcPr>
            <w:tcW w:w="542" w:type="pct"/>
            <w:tcBorders>
              <w:top w:val="nil"/>
              <w:left w:val="single" w:sz="24" w:space="0" w:color="FFFFFF"/>
              <w:bottom w:val="single" w:sz="24" w:space="0" w:color="FFFFFF"/>
              <w:right w:val="single" w:sz="24" w:space="0" w:color="FFFFFF"/>
            </w:tcBorders>
            <w:shd w:val="pct5" w:color="000000" w:fill="FFFFFF"/>
            <w:vAlign w:val="center"/>
          </w:tcPr>
          <w:p w14:paraId="3E44813A" w14:textId="77777777" w:rsidR="00CD484C" w:rsidRDefault="00CD484C">
            <w:pPr>
              <w:ind w:hanging="6"/>
              <w:jc w:val="center"/>
              <w:rPr>
                <w:sz w:val="18"/>
                <w:szCs w:val="16"/>
              </w:rPr>
            </w:pPr>
            <w:r>
              <w:rPr>
                <w:sz w:val="18"/>
                <w:szCs w:val="16"/>
              </w:rPr>
              <w:t>1/2,8</w:t>
            </w:r>
          </w:p>
        </w:tc>
        <w:tc>
          <w:tcPr>
            <w:tcW w:w="518" w:type="pct"/>
            <w:tcBorders>
              <w:top w:val="nil"/>
              <w:left w:val="single" w:sz="24" w:space="0" w:color="FFFFFF"/>
              <w:bottom w:val="single" w:sz="24" w:space="0" w:color="FFFFFF"/>
              <w:right w:val="single" w:sz="24" w:space="0" w:color="FFFFFF"/>
            </w:tcBorders>
            <w:shd w:val="pct5" w:color="000000" w:fill="FFFFFF"/>
            <w:vAlign w:val="center"/>
          </w:tcPr>
          <w:p w14:paraId="651E60F0" w14:textId="77777777" w:rsidR="00CD484C" w:rsidRDefault="00CD484C">
            <w:pPr>
              <w:jc w:val="center"/>
              <w:rPr>
                <w:sz w:val="18"/>
                <w:szCs w:val="16"/>
              </w:rPr>
            </w:pPr>
            <w:r>
              <w:rPr>
                <w:sz w:val="18"/>
                <w:szCs w:val="16"/>
              </w:rPr>
              <w:t>1/2,8</w:t>
            </w:r>
          </w:p>
        </w:tc>
        <w:tc>
          <w:tcPr>
            <w:tcW w:w="511" w:type="pct"/>
            <w:tcBorders>
              <w:top w:val="nil"/>
              <w:left w:val="single" w:sz="24" w:space="0" w:color="FFFFFF"/>
              <w:bottom w:val="single" w:sz="24" w:space="0" w:color="FFFFFF"/>
              <w:right w:val="single" w:sz="24" w:space="0" w:color="FFFFFF"/>
            </w:tcBorders>
            <w:shd w:val="pct5" w:color="000000" w:fill="FFFFFF"/>
            <w:vAlign w:val="center"/>
          </w:tcPr>
          <w:p w14:paraId="5979D358" w14:textId="77777777" w:rsidR="00CD484C" w:rsidRDefault="00CD484C">
            <w:pPr>
              <w:ind w:hanging="20"/>
              <w:jc w:val="center"/>
              <w:rPr>
                <w:sz w:val="18"/>
                <w:szCs w:val="16"/>
              </w:rPr>
            </w:pPr>
          </w:p>
        </w:tc>
        <w:tc>
          <w:tcPr>
            <w:tcW w:w="505" w:type="pct"/>
            <w:tcBorders>
              <w:top w:val="nil"/>
              <w:left w:val="single" w:sz="24" w:space="0" w:color="FFFFFF"/>
              <w:bottom w:val="single" w:sz="24" w:space="0" w:color="FFFFFF"/>
              <w:right w:val="single" w:sz="24" w:space="0" w:color="FFFFFF"/>
            </w:tcBorders>
            <w:shd w:val="pct5" w:color="000000" w:fill="FFFFFF"/>
            <w:vAlign w:val="center"/>
          </w:tcPr>
          <w:p w14:paraId="31ADAFFC" w14:textId="77777777" w:rsidR="00CD484C" w:rsidRDefault="00CD484C">
            <w:pPr>
              <w:jc w:val="center"/>
              <w:rPr>
                <w:sz w:val="18"/>
                <w:szCs w:val="16"/>
              </w:rPr>
            </w:pPr>
          </w:p>
        </w:tc>
        <w:tc>
          <w:tcPr>
            <w:tcW w:w="489" w:type="pct"/>
            <w:tcBorders>
              <w:top w:val="nil"/>
              <w:left w:val="single" w:sz="24" w:space="0" w:color="FFFFFF"/>
              <w:bottom w:val="single" w:sz="24" w:space="0" w:color="FFFFFF"/>
              <w:right w:val="single" w:sz="24" w:space="0" w:color="FFFFFF"/>
            </w:tcBorders>
            <w:shd w:val="pct5" w:color="000000" w:fill="FFFFFF"/>
            <w:vAlign w:val="center"/>
          </w:tcPr>
          <w:p w14:paraId="6F45284B" w14:textId="77777777" w:rsidR="00CD484C" w:rsidRDefault="00CD484C">
            <w:pPr>
              <w:jc w:val="center"/>
              <w:rPr>
                <w:sz w:val="18"/>
                <w:szCs w:val="16"/>
              </w:rPr>
            </w:pPr>
            <w:r>
              <w:rPr>
                <w:sz w:val="18"/>
                <w:szCs w:val="16"/>
              </w:rPr>
              <w:t>1/2,8</w:t>
            </w:r>
          </w:p>
        </w:tc>
        <w:tc>
          <w:tcPr>
            <w:tcW w:w="526" w:type="pct"/>
            <w:tcBorders>
              <w:top w:val="nil"/>
              <w:left w:val="single" w:sz="24" w:space="0" w:color="FFFFFF"/>
              <w:bottom w:val="single" w:sz="24" w:space="0" w:color="FFFFFF"/>
            </w:tcBorders>
            <w:shd w:val="pct5" w:color="000000" w:fill="FFFFFF"/>
            <w:vAlign w:val="center"/>
          </w:tcPr>
          <w:p w14:paraId="4B27A59B" w14:textId="77777777" w:rsidR="00CD484C" w:rsidRDefault="00CD484C">
            <w:pPr>
              <w:jc w:val="center"/>
              <w:rPr>
                <w:sz w:val="18"/>
                <w:szCs w:val="16"/>
              </w:rPr>
            </w:pPr>
            <w:r>
              <w:rPr>
                <w:sz w:val="18"/>
                <w:szCs w:val="16"/>
              </w:rPr>
              <w:t>1/2,8</w:t>
            </w:r>
          </w:p>
        </w:tc>
      </w:tr>
      <w:tr w:rsidR="00CD484C" w14:paraId="12140805" w14:textId="77777777">
        <w:trPr>
          <w:trHeight w:val="181"/>
          <w:jc w:val="center"/>
        </w:trPr>
        <w:tc>
          <w:tcPr>
            <w:tcW w:w="824" w:type="pct"/>
            <w:tcBorders>
              <w:top w:val="single" w:sz="24" w:space="0" w:color="FFFFFF"/>
              <w:bottom w:val="single" w:sz="24" w:space="0" w:color="FFFFFF"/>
              <w:right w:val="single" w:sz="24" w:space="0" w:color="FFFFFF"/>
            </w:tcBorders>
            <w:shd w:val="pct20" w:color="000000" w:fill="FFFFFF"/>
            <w:vAlign w:val="center"/>
          </w:tcPr>
          <w:p w14:paraId="31C16F61" w14:textId="77777777" w:rsidR="00CD484C" w:rsidRDefault="00CD484C">
            <w:pPr>
              <w:jc w:val="both"/>
              <w:rPr>
                <w:sz w:val="18"/>
                <w:szCs w:val="16"/>
              </w:rPr>
            </w:pPr>
            <w:r>
              <w:rPr>
                <w:sz w:val="18"/>
                <w:szCs w:val="16"/>
              </w:rPr>
              <w:t>Нисабур</w:t>
            </w:r>
          </w:p>
        </w:tc>
        <w:tc>
          <w:tcPr>
            <w:tcW w:w="543"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64DA9C73" w14:textId="77777777" w:rsidR="00CD484C" w:rsidRDefault="00CD484C">
            <w:pPr>
              <w:jc w:val="center"/>
              <w:rPr>
                <w:sz w:val="18"/>
                <w:szCs w:val="16"/>
              </w:rPr>
            </w:pPr>
          </w:p>
        </w:tc>
        <w:tc>
          <w:tcPr>
            <w:tcW w:w="541"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31B0DB2B" w14:textId="77777777" w:rsidR="00CD484C" w:rsidRDefault="00CD484C">
            <w:pPr>
              <w:jc w:val="center"/>
              <w:rPr>
                <w:sz w:val="18"/>
                <w:szCs w:val="16"/>
              </w:rPr>
            </w:pPr>
          </w:p>
        </w:tc>
        <w:tc>
          <w:tcPr>
            <w:tcW w:w="542"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68D4CFF8" w14:textId="77777777" w:rsidR="00CD484C" w:rsidRDefault="00CD484C">
            <w:pPr>
              <w:ind w:hanging="6"/>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473B44A5" w14:textId="77777777" w:rsidR="00CD484C" w:rsidRDefault="00CD484C">
            <w:pPr>
              <w:jc w:val="center"/>
              <w:rPr>
                <w:sz w:val="18"/>
                <w:szCs w:val="16"/>
              </w:rPr>
            </w:pPr>
          </w:p>
        </w:tc>
        <w:tc>
          <w:tcPr>
            <w:tcW w:w="511"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47C548D4" w14:textId="77777777" w:rsidR="00CD484C" w:rsidRDefault="00CD484C">
            <w:pPr>
              <w:ind w:hanging="20"/>
              <w:jc w:val="center"/>
              <w:rPr>
                <w:sz w:val="18"/>
                <w:szCs w:val="16"/>
              </w:rPr>
            </w:pPr>
          </w:p>
        </w:tc>
        <w:tc>
          <w:tcPr>
            <w:tcW w:w="505"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7687D384" w14:textId="77777777" w:rsidR="00CD484C" w:rsidRDefault="00CD484C">
            <w:pPr>
              <w:jc w:val="center"/>
              <w:rPr>
                <w:sz w:val="18"/>
                <w:szCs w:val="16"/>
              </w:rPr>
            </w:pPr>
          </w:p>
        </w:tc>
        <w:tc>
          <w:tcPr>
            <w:tcW w:w="489"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53CA5B60" w14:textId="77777777" w:rsidR="00CD484C" w:rsidRDefault="00CD484C">
            <w:pPr>
              <w:jc w:val="center"/>
              <w:rPr>
                <w:sz w:val="18"/>
                <w:szCs w:val="16"/>
              </w:rPr>
            </w:pPr>
          </w:p>
        </w:tc>
        <w:tc>
          <w:tcPr>
            <w:tcW w:w="526" w:type="pct"/>
            <w:tcBorders>
              <w:top w:val="single" w:sz="24" w:space="0" w:color="FFFFFF"/>
              <w:left w:val="single" w:sz="24" w:space="0" w:color="FFFFFF"/>
              <w:bottom w:val="single" w:sz="24" w:space="0" w:color="FFFFFF"/>
            </w:tcBorders>
            <w:shd w:val="pct20" w:color="000000" w:fill="FFFFFF"/>
            <w:vAlign w:val="center"/>
          </w:tcPr>
          <w:p w14:paraId="1520456C" w14:textId="77777777" w:rsidR="00CD484C" w:rsidRDefault="00CD484C">
            <w:pPr>
              <w:jc w:val="center"/>
              <w:rPr>
                <w:sz w:val="18"/>
                <w:szCs w:val="16"/>
              </w:rPr>
            </w:pPr>
            <w:r>
              <w:rPr>
                <w:sz w:val="18"/>
                <w:szCs w:val="16"/>
              </w:rPr>
              <w:t>3/8,32</w:t>
            </w:r>
          </w:p>
        </w:tc>
      </w:tr>
      <w:tr w:rsidR="00CD484C" w14:paraId="0498FAE5" w14:textId="77777777">
        <w:trPr>
          <w:trHeight w:val="70"/>
          <w:jc w:val="center"/>
        </w:trPr>
        <w:tc>
          <w:tcPr>
            <w:tcW w:w="824" w:type="pct"/>
            <w:tcBorders>
              <w:top w:val="single" w:sz="24" w:space="0" w:color="FFFFFF"/>
              <w:bottom w:val="single" w:sz="24" w:space="0" w:color="FFFFFF"/>
              <w:right w:val="single" w:sz="24" w:space="0" w:color="FFFFFF"/>
            </w:tcBorders>
            <w:shd w:val="pct5" w:color="000000" w:fill="FFFFFF"/>
            <w:vAlign w:val="center"/>
          </w:tcPr>
          <w:p w14:paraId="25845BBE" w14:textId="77777777" w:rsidR="00CD484C" w:rsidRDefault="00CD484C">
            <w:pPr>
              <w:jc w:val="both"/>
              <w:rPr>
                <w:sz w:val="18"/>
                <w:szCs w:val="16"/>
              </w:rPr>
            </w:pPr>
            <w:r>
              <w:rPr>
                <w:sz w:val="18"/>
                <w:szCs w:val="16"/>
              </w:rPr>
              <w:t>Мухамедия</w:t>
            </w:r>
          </w:p>
        </w:tc>
        <w:tc>
          <w:tcPr>
            <w:tcW w:w="543"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61C05D24" w14:textId="77777777" w:rsidR="00CD484C" w:rsidRDefault="00CD484C">
            <w:pPr>
              <w:jc w:val="center"/>
              <w:rPr>
                <w:sz w:val="18"/>
                <w:szCs w:val="16"/>
              </w:rPr>
            </w:pPr>
          </w:p>
        </w:tc>
        <w:tc>
          <w:tcPr>
            <w:tcW w:w="541"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2BC2151B" w14:textId="77777777" w:rsidR="00CD484C" w:rsidRDefault="00CD484C">
            <w:pPr>
              <w:ind w:hanging="6"/>
              <w:jc w:val="center"/>
              <w:rPr>
                <w:sz w:val="18"/>
                <w:szCs w:val="16"/>
              </w:rPr>
            </w:pPr>
          </w:p>
        </w:tc>
        <w:tc>
          <w:tcPr>
            <w:tcW w:w="542"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4FB07D48" w14:textId="77777777" w:rsidR="00CD484C" w:rsidRDefault="00CD484C">
            <w:pPr>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40C31024" w14:textId="77777777" w:rsidR="00CD484C" w:rsidRDefault="00CD484C">
            <w:pPr>
              <w:ind w:hanging="20"/>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164F1EE1" w14:textId="77777777" w:rsidR="00CD484C" w:rsidRDefault="00CD484C">
            <w:pPr>
              <w:jc w:val="center"/>
              <w:rPr>
                <w:sz w:val="18"/>
                <w:szCs w:val="16"/>
              </w:rPr>
            </w:pPr>
            <w:r>
              <w:rPr>
                <w:sz w:val="18"/>
                <w:szCs w:val="16"/>
              </w:rPr>
              <w:t>1/2,8</w:t>
            </w:r>
          </w:p>
        </w:tc>
        <w:tc>
          <w:tcPr>
            <w:tcW w:w="49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7460637E" w14:textId="77777777" w:rsidR="00CD484C" w:rsidRDefault="00CD484C">
            <w:pPr>
              <w:jc w:val="center"/>
              <w:rPr>
                <w:sz w:val="18"/>
                <w:szCs w:val="16"/>
              </w:rPr>
            </w:pPr>
          </w:p>
        </w:tc>
        <w:tc>
          <w:tcPr>
            <w:tcW w:w="489"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30D5DD19" w14:textId="77777777" w:rsidR="00CD484C" w:rsidRDefault="00CD484C">
            <w:pPr>
              <w:jc w:val="center"/>
              <w:rPr>
                <w:sz w:val="18"/>
                <w:szCs w:val="16"/>
              </w:rPr>
            </w:pPr>
          </w:p>
        </w:tc>
        <w:tc>
          <w:tcPr>
            <w:tcW w:w="526" w:type="pct"/>
            <w:tcBorders>
              <w:top w:val="single" w:sz="24" w:space="0" w:color="FFFFFF"/>
              <w:left w:val="single" w:sz="24" w:space="0" w:color="FFFFFF"/>
              <w:bottom w:val="single" w:sz="24" w:space="0" w:color="FFFFFF"/>
            </w:tcBorders>
            <w:shd w:val="pct5" w:color="000000" w:fill="FFFFFF"/>
            <w:vAlign w:val="center"/>
          </w:tcPr>
          <w:p w14:paraId="178FD988" w14:textId="77777777" w:rsidR="00CD484C" w:rsidRDefault="00CD484C">
            <w:pPr>
              <w:jc w:val="center"/>
              <w:rPr>
                <w:sz w:val="18"/>
                <w:szCs w:val="16"/>
              </w:rPr>
            </w:pPr>
          </w:p>
        </w:tc>
      </w:tr>
      <w:tr w:rsidR="00CD484C" w14:paraId="1414AAEE" w14:textId="77777777">
        <w:trPr>
          <w:trHeight w:val="70"/>
          <w:jc w:val="center"/>
        </w:trPr>
        <w:tc>
          <w:tcPr>
            <w:tcW w:w="824" w:type="pct"/>
            <w:tcBorders>
              <w:top w:val="single" w:sz="24" w:space="0" w:color="FFFFFF"/>
              <w:bottom w:val="single" w:sz="24" w:space="0" w:color="FFFFFF"/>
              <w:right w:val="single" w:sz="24" w:space="0" w:color="FFFFFF"/>
            </w:tcBorders>
            <w:shd w:val="pct20" w:color="000000" w:fill="FFFFFF"/>
            <w:vAlign w:val="center"/>
          </w:tcPr>
          <w:p w14:paraId="7BDDD76A" w14:textId="77777777" w:rsidR="00CD484C" w:rsidRDefault="00CD484C">
            <w:pPr>
              <w:jc w:val="both"/>
              <w:rPr>
                <w:sz w:val="18"/>
                <w:szCs w:val="16"/>
              </w:rPr>
            </w:pPr>
            <w:r>
              <w:rPr>
                <w:sz w:val="18"/>
                <w:szCs w:val="16"/>
              </w:rPr>
              <w:t>Ахваз</w:t>
            </w:r>
          </w:p>
        </w:tc>
        <w:tc>
          <w:tcPr>
            <w:tcW w:w="543" w:type="pct"/>
            <w:tcBorders>
              <w:top w:val="single" w:sz="12" w:space="0" w:color="FFFFFF"/>
              <w:left w:val="single" w:sz="24" w:space="0" w:color="FFFFFF"/>
              <w:bottom w:val="single" w:sz="24" w:space="0" w:color="FFFFFF"/>
              <w:right w:val="single" w:sz="24" w:space="0" w:color="FFFFFF"/>
            </w:tcBorders>
            <w:shd w:val="pct20" w:color="000000" w:fill="FFFFFF"/>
            <w:vAlign w:val="center"/>
          </w:tcPr>
          <w:p w14:paraId="089DEE81" w14:textId="77777777" w:rsidR="00CD484C" w:rsidRDefault="00CD484C">
            <w:pPr>
              <w:jc w:val="center"/>
              <w:rPr>
                <w:sz w:val="18"/>
                <w:szCs w:val="16"/>
              </w:rPr>
            </w:pPr>
          </w:p>
        </w:tc>
        <w:tc>
          <w:tcPr>
            <w:tcW w:w="541" w:type="pct"/>
            <w:tcBorders>
              <w:top w:val="single" w:sz="12" w:space="0" w:color="FFFFFF"/>
              <w:left w:val="single" w:sz="24" w:space="0" w:color="FFFFFF"/>
              <w:bottom w:val="single" w:sz="24" w:space="0" w:color="FFFFFF"/>
              <w:right w:val="single" w:sz="24" w:space="0" w:color="FFFFFF"/>
            </w:tcBorders>
            <w:shd w:val="pct20" w:color="000000" w:fill="FFFFFF"/>
            <w:vAlign w:val="center"/>
          </w:tcPr>
          <w:p w14:paraId="2DD37B0B" w14:textId="77777777" w:rsidR="00CD484C" w:rsidRDefault="00CD484C">
            <w:pPr>
              <w:jc w:val="center"/>
              <w:rPr>
                <w:sz w:val="18"/>
                <w:szCs w:val="16"/>
              </w:rPr>
            </w:pPr>
          </w:p>
        </w:tc>
        <w:tc>
          <w:tcPr>
            <w:tcW w:w="542" w:type="pct"/>
            <w:tcBorders>
              <w:top w:val="single" w:sz="12" w:space="0" w:color="FFFFFF"/>
              <w:left w:val="single" w:sz="24" w:space="0" w:color="FFFFFF"/>
              <w:bottom w:val="single" w:sz="24" w:space="0" w:color="FFFFFF"/>
              <w:right w:val="single" w:sz="24" w:space="0" w:color="FFFFFF"/>
            </w:tcBorders>
            <w:shd w:val="pct20" w:color="000000" w:fill="FFFFFF"/>
            <w:vAlign w:val="center"/>
          </w:tcPr>
          <w:p w14:paraId="252426F8" w14:textId="77777777" w:rsidR="00CD484C" w:rsidRDefault="00CD484C">
            <w:pPr>
              <w:ind w:hanging="6"/>
              <w:jc w:val="center"/>
              <w:rPr>
                <w:sz w:val="18"/>
                <w:szCs w:val="16"/>
              </w:rPr>
            </w:pPr>
          </w:p>
        </w:tc>
        <w:tc>
          <w:tcPr>
            <w:tcW w:w="518" w:type="pct"/>
            <w:tcBorders>
              <w:top w:val="single" w:sz="12" w:space="0" w:color="FFFFFF"/>
              <w:left w:val="single" w:sz="24" w:space="0" w:color="FFFFFF"/>
              <w:bottom w:val="single" w:sz="24" w:space="0" w:color="FFFFFF"/>
              <w:right w:val="single" w:sz="24" w:space="0" w:color="FFFFFF"/>
            </w:tcBorders>
            <w:shd w:val="pct20" w:color="000000" w:fill="FFFFFF"/>
            <w:vAlign w:val="center"/>
          </w:tcPr>
          <w:p w14:paraId="76F7C6FD" w14:textId="77777777" w:rsidR="00CD484C" w:rsidRDefault="00CD484C">
            <w:pPr>
              <w:jc w:val="center"/>
              <w:rPr>
                <w:sz w:val="18"/>
                <w:szCs w:val="16"/>
              </w:rPr>
            </w:pPr>
          </w:p>
        </w:tc>
        <w:tc>
          <w:tcPr>
            <w:tcW w:w="518" w:type="pct"/>
            <w:tcBorders>
              <w:top w:val="single" w:sz="12" w:space="0" w:color="FFFFFF"/>
              <w:left w:val="single" w:sz="24" w:space="0" w:color="FFFFFF"/>
              <w:bottom w:val="single" w:sz="24" w:space="0" w:color="FFFFFF"/>
              <w:right w:val="single" w:sz="24" w:space="0" w:color="FFFFFF"/>
            </w:tcBorders>
            <w:shd w:val="pct20" w:color="000000" w:fill="FFFFFF"/>
            <w:vAlign w:val="center"/>
          </w:tcPr>
          <w:p w14:paraId="1A99E261" w14:textId="77777777" w:rsidR="00CD484C" w:rsidRDefault="00CD484C">
            <w:pPr>
              <w:ind w:hanging="20"/>
              <w:jc w:val="center"/>
              <w:rPr>
                <w:sz w:val="18"/>
                <w:szCs w:val="16"/>
              </w:rPr>
            </w:pPr>
          </w:p>
        </w:tc>
        <w:tc>
          <w:tcPr>
            <w:tcW w:w="498" w:type="pct"/>
            <w:tcBorders>
              <w:top w:val="single" w:sz="12" w:space="0" w:color="FFFFFF"/>
              <w:left w:val="single" w:sz="24" w:space="0" w:color="FFFFFF"/>
              <w:bottom w:val="single" w:sz="24" w:space="0" w:color="FFFFFF"/>
              <w:right w:val="single" w:sz="24" w:space="0" w:color="FFFFFF"/>
            </w:tcBorders>
            <w:shd w:val="pct20" w:color="000000" w:fill="FFFFFF"/>
            <w:vAlign w:val="center"/>
          </w:tcPr>
          <w:p w14:paraId="1C8E707E" w14:textId="77777777" w:rsidR="00CD484C" w:rsidRDefault="00CD484C">
            <w:pPr>
              <w:jc w:val="center"/>
              <w:rPr>
                <w:sz w:val="18"/>
                <w:szCs w:val="16"/>
              </w:rPr>
            </w:pPr>
          </w:p>
        </w:tc>
        <w:tc>
          <w:tcPr>
            <w:tcW w:w="489" w:type="pct"/>
            <w:tcBorders>
              <w:top w:val="single" w:sz="12" w:space="0" w:color="FFFFFF"/>
              <w:left w:val="single" w:sz="24" w:space="0" w:color="FFFFFF"/>
              <w:bottom w:val="single" w:sz="24" w:space="0" w:color="FFFFFF"/>
              <w:right w:val="single" w:sz="24" w:space="0" w:color="FFFFFF"/>
            </w:tcBorders>
            <w:shd w:val="pct20" w:color="000000" w:fill="FFFFFF"/>
            <w:vAlign w:val="center"/>
          </w:tcPr>
          <w:p w14:paraId="1F7E4FAB" w14:textId="77777777" w:rsidR="00CD484C" w:rsidRDefault="00CD484C">
            <w:pPr>
              <w:jc w:val="center"/>
              <w:rPr>
                <w:sz w:val="18"/>
                <w:szCs w:val="16"/>
              </w:rPr>
            </w:pPr>
            <w:r>
              <w:rPr>
                <w:sz w:val="18"/>
                <w:szCs w:val="16"/>
              </w:rPr>
              <w:t>1/2,8</w:t>
            </w:r>
          </w:p>
        </w:tc>
        <w:tc>
          <w:tcPr>
            <w:tcW w:w="526" w:type="pct"/>
            <w:tcBorders>
              <w:top w:val="single" w:sz="12" w:space="0" w:color="FFFFFF"/>
              <w:left w:val="single" w:sz="24" w:space="0" w:color="FFFFFF"/>
              <w:bottom w:val="single" w:sz="24" w:space="0" w:color="FFFFFF"/>
            </w:tcBorders>
            <w:shd w:val="pct20" w:color="000000" w:fill="FFFFFF"/>
            <w:vAlign w:val="center"/>
          </w:tcPr>
          <w:p w14:paraId="4BC307F2" w14:textId="77777777" w:rsidR="00CD484C" w:rsidRDefault="00CD484C">
            <w:pPr>
              <w:jc w:val="center"/>
              <w:rPr>
                <w:sz w:val="18"/>
                <w:szCs w:val="16"/>
              </w:rPr>
            </w:pPr>
          </w:p>
        </w:tc>
      </w:tr>
      <w:tr w:rsidR="00CD484C" w14:paraId="65D42405" w14:textId="77777777">
        <w:trPr>
          <w:trHeight w:val="381"/>
          <w:jc w:val="center"/>
        </w:trPr>
        <w:tc>
          <w:tcPr>
            <w:tcW w:w="824" w:type="pct"/>
            <w:tcBorders>
              <w:top w:val="single" w:sz="24" w:space="0" w:color="FFFFFF"/>
              <w:bottom w:val="single" w:sz="24" w:space="0" w:color="FFFFFF"/>
              <w:right w:val="single" w:sz="24" w:space="0" w:color="FFFFFF"/>
            </w:tcBorders>
            <w:shd w:val="pct5" w:color="000000" w:fill="FFFFFF"/>
            <w:vAlign w:val="center"/>
          </w:tcPr>
          <w:p w14:paraId="77EE2208" w14:textId="77777777" w:rsidR="00CD484C" w:rsidRDefault="00CD484C">
            <w:pPr>
              <w:jc w:val="both"/>
              <w:rPr>
                <w:sz w:val="18"/>
                <w:szCs w:val="16"/>
              </w:rPr>
            </w:pPr>
            <w:r>
              <w:rPr>
                <w:sz w:val="18"/>
                <w:szCs w:val="16"/>
              </w:rPr>
              <w:t>Мадинат-ас Салам</w:t>
            </w:r>
          </w:p>
        </w:tc>
        <w:tc>
          <w:tcPr>
            <w:tcW w:w="543"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059C883E" w14:textId="77777777" w:rsidR="00CD484C" w:rsidRDefault="00CD484C">
            <w:pPr>
              <w:jc w:val="center"/>
              <w:rPr>
                <w:sz w:val="18"/>
                <w:szCs w:val="16"/>
              </w:rPr>
            </w:pPr>
          </w:p>
        </w:tc>
        <w:tc>
          <w:tcPr>
            <w:tcW w:w="541"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61236566" w14:textId="77777777" w:rsidR="00CD484C" w:rsidRDefault="00CD484C">
            <w:pPr>
              <w:jc w:val="center"/>
              <w:rPr>
                <w:sz w:val="18"/>
                <w:szCs w:val="16"/>
              </w:rPr>
            </w:pPr>
          </w:p>
        </w:tc>
        <w:tc>
          <w:tcPr>
            <w:tcW w:w="542"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25F5E0B5" w14:textId="77777777" w:rsidR="00CD484C" w:rsidRDefault="00CD484C">
            <w:pPr>
              <w:ind w:hanging="6"/>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64BA53BF" w14:textId="77777777" w:rsidR="00CD484C" w:rsidRDefault="00CD484C">
            <w:pPr>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5B2BB7FA" w14:textId="77777777" w:rsidR="00CD484C" w:rsidRDefault="00CD484C">
            <w:pPr>
              <w:ind w:hanging="20"/>
              <w:jc w:val="center"/>
              <w:rPr>
                <w:sz w:val="18"/>
                <w:szCs w:val="16"/>
              </w:rPr>
            </w:pPr>
          </w:p>
        </w:tc>
        <w:tc>
          <w:tcPr>
            <w:tcW w:w="49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373DD9BF" w14:textId="77777777" w:rsidR="00CD484C" w:rsidRDefault="00CD484C">
            <w:pPr>
              <w:jc w:val="center"/>
              <w:rPr>
                <w:sz w:val="18"/>
                <w:szCs w:val="16"/>
              </w:rPr>
            </w:pPr>
          </w:p>
        </w:tc>
        <w:tc>
          <w:tcPr>
            <w:tcW w:w="489"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5AD74BC0" w14:textId="77777777" w:rsidR="00CD484C" w:rsidRDefault="00CD484C">
            <w:pPr>
              <w:jc w:val="center"/>
              <w:rPr>
                <w:sz w:val="18"/>
                <w:szCs w:val="16"/>
              </w:rPr>
            </w:pPr>
            <w:r>
              <w:rPr>
                <w:sz w:val="18"/>
                <w:szCs w:val="16"/>
              </w:rPr>
              <w:t>1/2,8</w:t>
            </w:r>
          </w:p>
        </w:tc>
        <w:tc>
          <w:tcPr>
            <w:tcW w:w="526" w:type="pct"/>
            <w:tcBorders>
              <w:top w:val="single" w:sz="24" w:space="0" w:color="FFFFFF"/>
              <w:left w:val="single" w:sz="24" w:space="0" w:color="FFFFFF"/>
              <w:bottom w:val="single" w:sz="24" w:space="0" w:color="FFFFFF"/>
            </w:tcBorders>
            <w:shd w:val="pct5" w:color="000000" w:fill="FFFFFF"/>
            <w:vAlign w:val="center"/>
          </w:tcPr>
          <w:p w14:paraId="1081FD03" w14:textId="77777777" w:rsidR="00CD484C" w:rsidRDefault="00CD484C">
            <w:pPr>
              <w:jc w:val="center"/>
              <w:rPr>
                <w:sz w:val="18"/>
                <w:szCs w:val="16"/>
              </w:rPr>
            </w:pPr>
          </w:p>
        </w:tc>
      </w:tr>
      <w:tr w:rsidR="00CD484C" w14:paraId="282B628F" w14:textId="77777777">
        <w:trPr>
          <w:trHeight w:val="70"/>
          <w:jc w:val="center"/>
        </w:trPr>
        <w:tc>
          <w:tcPr>
            <w:tcW w:w="824" w:type="pct"/>
            <w:tcBorders>
              <w:top w:val="single" w:sz="24" w:space="0" w:color="FFFFFF"/>
              <w:bottom w:val="single" w:sz="24" w:space="0" w:color="FFFFFF"/>
              <w:right w:val="single" w:sz="24" w:space="0" w:color="FFFFFF"/>
            </w:tcBorders>
            <w:shd w:val="pct20" w:color="000000" w:fill="FFFFFF"/>
            <w:vAlign w:val="center"/>
          </w:tcPr>
          <w:p w14:paraId="1676BC0B" w14:textId="77777777" w:rsidR="00CD484C" w:rsidRDefault="00CD484C">
            <w:pPr>
              <w:jc w:val="both"/>
              <w:rPr>
                <w:spacing w:val="-4"/>
                <w:sz w:val="18"/>
                <w:szCs w:val="16"/>
              </w:rPr>
            </w:pPr>
            <w:r>
              <w:rPr>
                <w:spacing w:val="-4"/>
                <w:sz w:val="18"/>
                <w:szCs w:val="16"/>
              </w:rPr>
              <w:t xml:space="preserve">Кумыс </w:t>
            </w:r>
            <w:r>
              <w:rPr>
                <w:spacing w:val="-4"/>
                <w:sz w:val="18"/>
                <w:szCs w:val="16"/>
              </w:rPr>
              <w:br/>
              <w:t>(Дамган)</w:t>
            </w:r>
          </w:p>
        </w:tc>
        <w:tc>
          <w:tcPr>
            <w:tcW w:w="543"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6418BEDF" w14:textId="77777777" w:rsidR="00CD484C" w:rsidRDefault="00CD484C">
            <w:pPr>
              <w:jc w:val="center"/>
              <w:rPr>
                <w:sz w:val="18"/>
                <w:szCs w:val="16"/>
              </w:rPr>
            </w:pPr>
          </w:p>
        </w:tc>
        <w:tc>
          <w:tcPr>
            <w:tcW w:w="541"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245F58CA" w14:textId="77777777" w:rsidR="00CD484C" w:rsidRDefault="00CD484C">
            <w:pPr>
              <w:jc w:val="center"/>
              <w:rPr>
                <w:sz w:val="18"/>
                <w:szCs w:val="16"/>
              </w:rPr>
            </w:pPr>
          </w:p>
        </w:tc>
        <w:tc>
          <w:tcPr>
            <w:tcW w:w="542"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78DE06CF" w14:textId="77777777" w:rsidR="00CD484C" w:rsidRDefault="00CD484C">
            <w:pPr>
              <w:ind w:hanging="6"/>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78B833B3" w14:textId="77777777" w:rsidR="00CD484C" w:rsidRDefault="00CD484C">
            <w:pPr>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4DA447A6" w14:textId="77777777" w:rsidR="00CD484C" w:rsidRDefault="00CD484C">
            <w:pPr>
              <w:ind w:hanging="20"/>
              <w:jc w:val="center"/>
              <w:rPr>
                <w:sz w:val="18"/>
                <w:szCs w:val="16"/>
              </w:rPr>
            </w:pPr>
          </w:p>
        </w:tc>
        <w:tc>
          <w:tcPr>
            <w:tcW w:w="49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325D7B41" w14:textId="77777777" w:rsidR="00CD484C" w:rsidRDefault="00CD484C">
            <w:pPr>
              <w:jc w:val="center"/>
              <w:rPr>
                <w:sz w:val="18"/>
                <w:szCs w:val="16"/>
              </w:rPr>
            </w:pPr>
          </w:p>
        </w:tc>
        <w:tc>
          <w:tcPr>
            <w:tcW w:w="489"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474E3F2F" w14:textId="77777777" w:rsidR="00CD484C" w:rsidRDefault="00CD484C">
            <w:pPr>
              <w:jc w:val="center"/>
              <w:rPr>
                <w:sz w:val="18"/>
                <w:szCs w:val="16"/>
              </w:rPr>
            </w:pPr>
            <w:r>
              <w:rPr>
                <w:sz w:val="18"/>
                <w:szCs w:val="16"/>
              </w:rPr>
              <w:t>2/5,55</w:t>
            </w:r>
          </w:p>
        </w:tc>
        <w:tc>
          <w:tcPr>
            <w:tcW w:w="526" w:type="pct"/>
            <w:tcBorders>
              <w:top w:val="single" w:sz="24" w:space="0" w:color="FFFFFF"/>
              <w:left w:val="single" w:sz="24" w:space="0" w:color="FFFFFF"/>
              <w:bottom w:val="single" w:sz="24" w:space="0" w:color="FFFFFF"/>
            </w:tcBorders>
            <w:shd w:val="pct20" w:color="000000" w:fill="FFFFFF"/>
            <w:vAlign w:val="center"/>
          </w:tcPr>
          <w:p w14:paraId="1FDACE5C" w14:textId="77777777" w:rsidR="00CD484C" w:rsidRDefault="00CD484C">
            <w:pPr>
              <w:jc w:val="center"/>
              <w:rPr>
                <w:sz w:val="18"/>
                <w:szCs w:val="16"/>
              </w:rPr>
            </w:pPr>
            <w:r>
              <w:rPr>
                <w:sz w:val="18"/>
                <w:szCs w:val="16"/>
              </w:rPr>
              <w:t>1/2,8</w:t>
            </w:r>
          </w:p>
        </w:tc>
      </w:tr>
      <w:tr w:rsidR="00CD484C" w14:paraId="19944775" w14:textId="77777777">
        <w:trPr>
          <w:trHeight w:val="70"/>
          <w:jc w:val="center"/>
        </w:trPr>
        <w:tc>
          <w:tcPr>
            <w:tcW w:w="824" w:type="pct"/>
            <w:tcBorders>
              <w:top w:val="single" w:sz="24" w:space="0" w:color="FFFFFF"/>
              <w:bottom w:val="single" w:sz="24" w:space="0" w:color="FFFFFF"/>
              <w:right w:val="single" w:sz="24" w:space="0" w:color="FFFFFF"/>
            </w:tcBorders>
            <w:shd w:val="pct5" w:color="000000" w:fill="FFFFFF"/>
            <w:vAlign w:val="center"/>
          </w:tcPr>
          <w:p w14:paraId="2370D833" w14:textId="77777777" w:rsidR="00CD484C" w:rsidRDefault="00CD484C">
            <w:pPr>
              <w:jc w:val="both"/>
              <w:rPr>
                <w:sz w:val="18"/>
                <w:szCs w:val="16"/>
              </w:rPr>
            </w:pPr>
            <w:r>
              <w:rPr>
                <w:sz w:val="18"/>
                <w:szCs w:val="16"/>
              </w:rPr>
              <w:t>Исфахан</w:t>
            </w:r>
          </w:p>
        </w:tc>
        <w:tc>
          <w:tcPr>
            <w:tcW w:w="543"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3B22E49C" w14:textId="77777777" w:rsidR="00CD484C" w:rsidRDefault="00CD484C">
            <w:pPr>
              <w:jc w:val="center"/>
              <w:rPr>
                <w:sz w:val="18"/>
                <w:szCs w:val="16"/>
              </w:rPr>
            </w:pPr>
          </w:p>
        </w:tc>
        <w:tc>
          <w:tcPr>
            <w:tcW w:w="541"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44A90478" w14:textId="77777777" w:rsidR="00CD484C" w:rsidRDefault="00CD484C">
            <w:pPr>
              <w:jc w:val="center"/>
              <w:rPr>
                <w:sz w:val="18"/>
                <w:szCs w:val="16"/>
              </w:rPr>
            </w:pPr>
          </w:p>
        </w:tc>
        <w:tc>
          <w:tcPr>
            <w:tcW w:w="542"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231D5A98" w14:textId="77777777" w:rsidR="00CD484C" w:rsidRDefault="00CD484C">
            <w:pPr>
              <w:ind w:hanging="6"/>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38293B62" w14:textId="77777777" w:rsidR="00CD484C" w:rsidRDefault="00CD484C">
            <w:pPr>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20D7E0FE" w14:textId="77777777" w:rsidR="00CD484C" w:rsidRDefault="00CD484C">
            <w:pPr>
              <w:ind w:hanging="20"/>
              <w:jc w:val="center"/>
              <w:rPr>
                <w:sz w:val="18"/>
                <w:szCs w:val="16"/>
              </w:rPr>
            </w:pPr>
          </w:p>
        </w:tc>
        <w:tc>
          <w:tcPr>
            <w:tcW w:w="498"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14DF2134" w14:textId="77777777" w:rsidR="00CD484C" w:rsidRDefault="00CD484C">
            <w:pPr>
              <w:jc w:val="center"/>
              <w:rPr>
                <w:sz w:val="18"/>
                <w:szCs w:val="16"/>
              </w:rPr>
            </w:pPr>
          </w:p>
        </w:tc>
        <w:tc>
          <w:tcPr>
            <w:tcW w:w="489" w:type="pct"/>
            <w:tcBorders>
              <w:top w:val="single" w:sz="24" w:space="0" w:color="FFFFFF"/>
              <w:left w:val="single" w:sz="24" w:space="0" w:color="FFFFFF"/>
              <w:bottom w:val="single" w:sz="24" w:space="0" w:color="FFFFFF"/>
              <w:right w:val="single" w:sz="24" w:space="0" w:color="FFFFFF"/>
            </w:tcBorders>
            <w:shd w:val="pct5" w:color="000000" w:fill="FFFFFF"/>
            <w:vAlign w:val="center"/>
          </w:tcPr>
          <w:p w14:paraId="4F0992D1" w14:textId="77777777" w:rsidR="00CD484C" w:rsidRDefault="00CD484C">
            <w:pPr>
              <w:jc w:val="center"/>
              <w:rPr>
                <w:sz w:val="18"/>
                <w:szCs w:val="16"/>
              </w:rPr>
            </w:pPr>
            <w:r>
              <w:rPr>
                <w:sz w:val="18"/>
                <w:szCs w:val="16"/>
              </w:rPr>
              <w:t>1/2,8</w:t>
            </w:r>
          </w:p>
        </w:tc>
        <w:tc>
          <w:tcPr>
            <w:tcW w:w="526" w:type="pct"/>
            <w:tcBorders>
              <w:top w:val="single" w:sz="24" w:space="0" w:color="FFFFFF"/>
              <w:left w:val="single" w:sz="24" w:space="0" w:color="FFFFFF"/>
              <w:bottom w:val="single" w:sz="24" w:space="0" w:color="FFFFFF"/>
            </w:tcBorders>
            <w:shd w:val="pct5" w:color="000000" w:fill="FFFFFF"/>
            <w:vAlign w:val="center"/>
          </w:tcPr>
          <w:p w14:paraId="3D524E57" w14:textId="77777777" w:rsidR="00CD484C" w:rsidRDefault="00CD484C">
            <w:pPr>
              <w:jc w:val="center"/>
              <w:rPr>
                <w:sz w:val="18"/>
                <w:szCs w:val="16"/>
              </w:rPr>
            </w:pPr>
            <w:r>
              <w:rPr>
                <w:sz w:val="18"/>
                <w:szCs w:val="16"/>
              </w:rPr>
              <w:t>1/2,8</w:t>
            </w:r>
          </w:p>
        </w:tc>
      </w:tr>
      <w:tr w:rsidR="00CD484C" w14:paraId="443CD4E6" w14:textId="77777777">
        <w:trPr>
          <w:trHeight w:val="70"/>
          <w:jc w:val="center"/>
        </w:trPr>
        <w:tc>
          <w:tcPr>
            <w:tcW w:w="824" w:type="pct"/>
            <w:tcBorders>
              <w:top w:val="single" w:sz="24" w:space="0" w:color="FFFFFF"/>
              <w:bottom w:val="single" w:sz="24" w:space="0" w:color="FFFFFF"/>
              <w:right w:val="single" w:sz="24" w:space="0" w:color="FFFFFF"/>
            </w:tcBorders>
            <w:shd w:val="pct20" w:color="000000" w:fill="FFFFFF"/>
            <w:vAlign w:val="center"/>
          </w:tcPr>
          <w:p w14:paraId="688623E6" w14:textId="77777777" w:rsidR="00CD484C" w:rsidRDefault="00CD484C">
            <w:pPr>
              <w:jc w:val="both"/>
              <w:rPr>
                <w:sz w:val="18"/>
                <w:szCs w:val="16"/>
              </w:rPr>
            </w:pPr>
            <w:r>
              <w:rPr>
                <w:sz w:val="18"/>
                <w:szCs w:val="16"/>
              </w:rPr>
              <w:t>Сари</w:t>
            </w:r>
          </w:p>
        </w:tc>
        <w:tc>
          <w:tcPr>
            <w:tcW w:w="543"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7D1C2AEF" w14:textId="77777777" w:rsidR="00CD484C" w:rsidRDefault="00CD484C">
            <w:pPr>
              <w:jc w:val="center"/>
              <w:rPr>
                <w:sz w:val="18"/>
                <w:szCs w:val="16"/>
              </w:rPr>
            </w:pPr>
          </w:p>
        </w:tc>
        <w:tc>
          <w:tcPr>
            <w:tcW w:w="541"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3CA800BF" w14:textId="77777777" w:rsidR="00CD484C" w:rsidRDefault="00CD484C">
            <w:pPr>
              <w:jc w:val="center"/>
              <w:rPr>
                <w:sz w:val="18"/>
                <w:szCs w:val="16"/>
              </w:rPr>
            </w:pPr>
          </w:p>
        </w:tc>
        <w:tc>
          <w:tcPr>
            <w:tcW w:w="542"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143164D9" w14:textId="77777777" w:rsidR="00CD484C" w:rsidRDefault="00CD484C">
            <w:pPr>
              <w:ind w:hanging="6"/>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45F69AEB" w14:textId="77777777" w:rsidR="00CD484C" w:rsidRDefault="00CD484C">
            <w:pPr>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20A20B28" w14:textId="77777777" w:rsidR="00CD484C" w:rsidRDefault="00CD484C">
            <w:pPr>
              <w:ind w:hanging="20"/>
              <w:jc w:val="center"/>
              <w:rPr>
                <w:sz w:val="18"/>
                <w:szCs w:val="16"/>
              </w:rPr>
            </w:pPr>
          </w:p>
        </w:tc>
        <w:tc>
          <w:tcPr>
            <w:tcW w:w="49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0392B296" w14:textId="77777777" w:rsidR="00CD484C" w:rsidRDefault="00CD484C">
            <w:pPr>
              <w:jc w:val="center"/>
              <w:rPr>
                <w:sz w:val="18"/>
                <w:szCs w:val="16"/>
              </w:rPr>
            </w:pPr>
          </w:p>
        </w:tc>
        <w:tc>
          <w:tcPr>
            <w:tcW w:w="489"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2DD9C8AF" w14:textId="77777777" w:rsidR="00CD484C" w:rsidRDefault="00CD484C">
            <w:pPr>
              <w:jc w:val="center"/>
              <w:rPr>
                <w:sz w:val="18"/>
                <w:szCs w:val="16"/>
              </w:rPr>
            </w:pPr>
            <w:r>
              <w:rPr>
                <w:sz w:val="18"/>
                <w:szCs w:val="16"/>
              </w:rPr>
              <w:t>2/5,55</w:t>
            </w:r>
          </w:p>
        </w:tc>
        <w:tc>
          <w:tcPr>
            <w:tcW w:w="526" w:type="pct"/>
            <w:tcBorders>
              <w:top w:val="single" w:sz="24" w:space="0" w:color="FFFFFF"/>
              <w:left w:val="single" w:sz="24" w:space="0" w:color="FFFFFF"/>
              <w:bottom w:val="single" w:sz="24" w:space="0" w:color="FFFFFF"/>
            </w:tcBorders>
            <w:shd w:val="pct20" w:color="000000" w:fill="FFFFFF"/>
            <w:vAlign w:val="center"/>
          </w:tcPr>
          <w:p w14:paraId="16F4B127" w14:textId="77777777" w:rsidR="00CD484C" w:rsidRDefault="00CD484C">
            <w:pPr>
              <w:jc w:val="center"/>
              <w:rPr>
                <w:sz w:val="18"/>
                <w:szCs w:val="16"/>
              </w:rPr>
            </w:pPr>
          </w:p>
        </w:tc>
      </w:tr>
      <w:tr w:rsidR="00CD484C" w14:paraId="533D1021" w14:textId="77777777">
        <w:trPr>
          <w:trHeight w:val="70"/>
          <w:jc w:val="center"/>
        </w:trPr>
        <w:tc>
          <w:tcPr>
            <w:tcW w:w="824" w:type="pct"/>
            <w:tcBorders>
              <w:top w:val="single" w:sz="24" w:space="0" w:color="FFFFFF"/>
              <w:right w:val="single" w:sz="24" w:space="0" w:color="FFFFFF"/>
            </w:tcBorders>
            <w:shd w:val="pct5" w:color="000000" w:fill="FFFFFF"/>
            <w:vAlign w:val="center"/>
          </w:tcPr>
          <w:p w14:paraId="6CC04A14" w14:textId="77777777" w:rsidR="00CD484C" w:rsidRDefault="00CD484C">
            <w:pPr>
              <w:jc w:val="both"/>
              <w:rPr>
                <w:sz w:val="18"/>
                <w:szCs w:val="16"/>
              </w:rPr>
            </w:pPr>
            <w:r>
              <w:rPr>
                <w:sz w:val="18"/>
                <w:szCs w:val="16"/>
              </w:rPr>
              <w:t>Джурджан</w:t>
            </w:r>
          </w:p>
        </w:tc>
        <w:tc>
          <w:tcPr>
            <w:tcW w:w="543" w:type="pct"/>
            <w:tcBorders>
              <w:top w:val="single" w:sz="24" w:space="0" w:color="FFFFFF"/>
              <w:left w:val="single" w:sz="24" w:space="0" w:color="FFFFFF"/>
              <w:right w:val="single" w:sz="24" w:space="0" w:color="FFFFFF"/>
            </w:tcBorders>
            <w:shd w:val="pct5" w:color="000000" w:fill="FFFFFF"/>
            <w:vAlign w:val="center"/>
          </w:tcPr>
          <w:p w14:paraId="27E6C8E5" w14:textId="77777777" w:rsidR="00CD484C" w:rsidRDefault="00CD484C">
            <w:pPr>
              <w:jc w:val="center"/>
              <w:rPr>
                <w:sz w:val="18"/>
                <w:szCs w:val="16"/>
              </w:rPr>
            </w:pPr>
          </w:p>
        </w:tc>
        <w:tc>
          <w:tcPr>
            <w:tcW w:w="541" w:type="pct"/>
            <w:tcBorders>
              <w:top w:val="single" w:sz="24" w:space="0" w:color="FFFFFF"/>
              <w:left w:val="single" w:sz="24" w:space="0" w:color="FFFFFF"/>
              <w:right w:val="single" w:sz="24" w:space="0" w:color="FFFFFF"/>
            </w:tcBorders>
            <w:shd w:val="pct5" w:color="000000" w:fill="FFFFFF"/>
            <w:vAlign w:val="center"/>
          </w:tcPr>
          <w:p w14:paraId="5BB5B4C2" w14:textId="77777777" w:rsidR="00CD484C" w:rsidRDefault="00CD484C">
            <w:pPr>
              <w:jc w:val="center"/>
              <w:rPr>
                <w:sz w:val="18"/>
                <w:szCs w:val="16"/>
              </w:rPr>
            </w:pPr>
          </w:p>
        </w:tc>
        <w:tc>
          <w:tcPr>
            <w:tcW w:w="542" w:type="pct"/>
            <w:tcBorders>
              <w:top w:val="single" w:sz="24" w:space="0" w:color="FFFFFF"/>
              <w:left w:val="single" w:sz="24" w:space="0" w:color="FFFFFF"/>
              <w:right w:val="single" w:sz="24" w:space="0" w:color="FFFFFF"/>
            </w:tcBorders>
            <w:shd w:val="pct5" w:color="000000" w:fill="FFFFFF"/>
            <w:vAlign w:val="center"/>
          </w:tcPr>
          <w:p w14:paraId="64E45FD3" w14:textId="77777777" w:rsidR="00CD484C" w:rsidRDefault="00CD484C">
            <w:pPr>
              <w:ind w:hanging="6"/>
              <w:jc w:val="center"/>
              <w:rPr>
                <w:sz w:val="18"/>
                <w:szCs w:val="16"/>
              </w:rPr>
            </w:pPr>
          </w:p>
        </w:tc>
        <w:tc>
          <w:tcPr>
            <w:tcW w:w="518" w:type="pct"/>
            <w:tcBorders>
              <w:top w:val="single" w:sz="24" w:space="0" w:color="FFFFFF"/>
              <w:left w:val="single" w:sz="24" w:space="0" w:color="FFFFFF"/>
              <w:right w:val="single" w:sz="24" w:space="0" w:color="FFFFFF"/>
            </w:tcBorders>
            <w:shd w:val="pct5" w:color="000000" w:fill="FFFFFF"/>
            <w:vAlign w:val="center"/>
          </w:tcPr>
          <w:p w14:paraId="283D0A54" w14:textId="77777777" w:rsidR="00CD484C" w:rsidRDefault="00CD484C">
            <w:pPr>
              <w:jc w:val="center"/>
              <w:rPr>
                <w:sz w:val="18"/>
                <w:szCs w:val="16"/>
              </w:rPr>
            </w:pPr>
          </w:p>
        </w:tc>
        <w:tc>
          <w:tcPr>
            <w:tcW w:w="518" w:type="pct"/>
            <w:tcBorders>
              <w:top w:val="single" w:sz="24" w:space="0" w:color="FFFFFF"/>
              <w:left w:val="single" w:sz="24" w:space="0" w:color="FFFFFF"/>
              <w:right w:val="single" w:sz="24" w:space="0" w:color="FFFFFF"/>
            </w:tcBorders>
            <w:shd w:val="pct5" w:color="000000" w:fill="FFFFFF"/>
            <w:vAlign w:val="center"/>
          </w:tcPr>
          <w:p w14:paraId="48C208D7" w14:textId="77777777" w:rsidR="00CD484C" w:rsidRDefault="00CD484C">
            <w:pPr>
              <w:ind w:hanging="20"/>
              <w:jc w:val="center"/>
              <w:rPr>
                <w:sz w:val="18"/>
                <w:szCs w:val="16"/>
              </w:rPr>
            </w:pPr>
          </w:p>
        </w:tc>
        <w:tc>
          <w:tcPr>
            <w:tcW w:w="498" w:type="pct"/>
            <w:tcBorders>
              <w:top w:val="single" w:sz="24" w:space="0" w:color="FFFFFF"/>
              <w:left w:val="single" w:sz="24" w:space="0" w:color="FFFFFF"/>
              <w:right w:val="single" w:sz="24" w:space="0" w:color="FFFFFF"/>
            </w:tcBorders>
            <w:shd w:val="pct5" w:color="000000" w:fill="FFFFFF"/>
            <w:vAlign w:val="center"/>
          </w:tcPr>
          <w:p w14:paraId="56D9EF27" w14:textId="77777777" w:rsidR="00CD484C" w:rsidRDefault="00CD484C">
            <w:pPr>
              <w:jc w:val="center"/>
              <w:rPr>
                <w:sz w:val="18"/>
                <w:szCs w:val="16"/>
              </w:rPr>
            </w:pPr>
          </w:p>
        </w:tc>
        <w:tc>
          <w:tcPr>
            <w:tcW w:w="489" w:type="pct"/>
            <w:tcBorders>
              <w:top w:val="single" w:sz="24" w:space="0" w:color="FFFFFF"/>
              <w:left w:val="single" w:sz="24" w:space="0" w:color="FFFFFF"/>
              <w:right w:val="single" w:sz="24" w:space="0" w:color="FFFFFF"/>
            </w:tcBorders>
            <w:shd w:val="pct5" w:color="000000" w:fill="FFFFFF"/>
            <w:vAlign w:val="center"/>
          </w:tcPr>
          <w:p w14:paraId="01B89D37" w14:textId="77777777" w:rsidR="00CD484C" w:rsidRDefault="00CD484C">
            <w:pPr>
              <w:jc w:val="center"/>
              <w:rPr>
                <w:sz w:val="18"/>
                <w:szCs w:val="16"/>
              </w:rPr>
            </w:pPr>
            <w:r>
              <w:rPr>
                <w:sz w:val="18"/>
                <w:szCs w:val="16"/>
              </w:rPr>
              <w:t>1/2,8</w:t>
            </w:r>
          </w:p>
        </w:tc>
        <w:tc>
          <w:tcPr>
            <w:tcW w:w="526" w:type="pct"/>
            <w:tcBorders>
              <w:top w:val="single" w:sz="24" w:space="0" w:color="FFFFFF"/>
              <w:left w:val="single" w:sz="24" w:space="0" w:color="FFFFFF"/>
            </w:tcBorders>
            <w:shd w:val="pct5" w:color="000000" w:fill="FFFFFF"/>
            <w:vAlign w:val="center"/>
          </w:tcPr>
          <w:p w14:paraId="2273E5A1" w14:textId="77777777" w:rsidR="00CD484C" w:rsidRDefault="00CD484C">
            <w:pPr>
              <w:jc w:val="center"/>
              <w:rPr>
                <w:sz w:val="18"/>
                <w:szCs w:val="16"/>
              </w:rPr>
            </w:pPr>
            <w:r>
              <w:rPr>
                <w:sz w:val="18"/>
                <w:szCs w:val="16"/>
              </w:rPr>
              <w:t>3 (8,32)</w:t>
            </w:r>
          </w:p>
        </w:tc>
      </w:tr>
      <w:tr w:rsidR="00CD484C" w14:paraId="09E80FEC" w14:textId="77777777">
        <w:trPr>
          <w:trHeight w:val="70"/>
          <w:jc w:val="center"/>
        </w:trPr>
        <w:tc>
          <w:tcPr>
            <w:tcW w:w="824" w:type="pct"/>
            <w:tcBorders>
              <w:top w:val="single" w:sz="24" w:space="0" w:color="FFFFFF"/>
              <w:bottom w:val="single" w:sz="24" w:space="0" w:color="FFFFFF"/>
              <w:right w:val="single" w:sz="24" w:space="0" w:color="FFFFFF"/>
            </w:tcBorders>
            <w:shd w:val="pct20" w:color="000000" w:fill="FFFFFF"/>
            <w:vAlign w:val="center"/>
          </w:tcPr>
          <w:p w14:paraId="68A0AD22" w14:textId="77777777" w:rsidR="00CD484C" w:rsidRDefault="00CD484C">
            <w:pPr>
              <w:jc w:val="both"/>
              <w:rPr>
                <w:sz w:val="18"/>
                <w:szCs w:val="16"/>
              </w:rPr>
            </w:pPr>
            <w:r>
              <w:rPr>
                <w:sz w:val="18"/>
                <w:szCs w:val="16"/>
              </w:rPr>
              <w:t>Астрабад</w:t>
            </w:r>
          </w:p>
        </w:tc>
        <w:tc>
          <w:tcPr>
            <w:tcW w:w="543"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771EE7CF" w14:textId="77777777" w:rsidR="00CD484C" w:rsidRDefault="00CD484C">
            <w:pPr>
              <w:jc w:val="center"/>
              <w:rPr>
                <w:sz w:val="18"/>
                <w:szCs w:val="16"/>
              </w:rPr>
            </w:pPr>
          </w:p>
        </w:tc>
        <w:tc>
          <w:tcPr>
            <w:tcW w:w="541"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77AFF711" w14:textId="77777777" w:rsidR="00CD484C" w:rsidRDefault="00CD484C">
            <w:pPr>
              <w:jc w:val="center"/>
              <w:rPr>
                <w:sz w:val="18"/>
                <w:szCs w:val="16"/>
              </w:rPr>
            </w:pPr>
          </w:p>
        </w:tc>
        <w:tc>
          <w:tcPr>
            <w:tcW w:w="542"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34A64595" w14:textId="77777777" w:rsidR="00CD484C" w:rsidRDefault="00CD484C">
            <w:pPr>
              <w:ind w:hanging="6"/>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69C82916" w14:textId="77777777" w:rsidR="00CD484C" w:rsidRDefault="00CD484C">
            <w:pPr>
              <w:jc w:val="center"/>
              <w:rPr>
                <w:sz w:val="18"/>
                <w:szCs w:val="16"/>
              </w:rPr>
            </w:pPr>
          </w:p>
        </w:tc>
        <w:tc>
          <w:tcPr>
            <w:tcW w:w="51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3EDD2787" w14:textId="77777777" w:rsidR="00CD484C" w:rsidRDefault="00CD484C">
            <w:pPr>
              <w:ind w:hanging="20"/>
              <w:jc w:val="center"/>
              <w:rPr>
                <w:sz w:val="18"/>
                <w:szCs w:val="16"/>
              </w:rPr>
            </w:pPr>
          </w:p>
        </w:tc>
        <w:tc>
          <w:tcPr>
            <w:tcW w:w="498"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45424D85" w14:textId="77777777" w:rsidR="00CD484C" w:rsidRDefault="00CD484C">
            <w:pPr>
              <w:jc w:val="center"/>
              <w:rPr>
                <w:sz w:val="18"/>
                <w:szCs w:val="16"/>
              </w:rPr>
            </w:pPr>
          </w:p>
        </w:tc>
        <w:tc>
          <w:tcPr>
            <w:tcW w:w="489" w:type="pct"/>
            <w:tcBorders>
              <w:top w:val="single" w:sz="24" w:space="0" w:color="FFFFFF"/>
              <w:left w:val="single" w:sz="24" w:space="0" w:color="FFFFFF"/>
              <w:bottom w:val="single" w:sz="24" w:space="0" w:color="FFFFFF"/>
              <w:right w:val="single" w:sz="24" w:space="0" w:color="FFFFFF"/>
            </w:tcBorders>
            <w:shd w:val="pct20" w:color="000000" w:fill="FFFFFF"/>
            <w:vAlign w:val="center"/>
          </w:tcPr>
          <w:p w14:paraId="1BA4BB3D" w14:textId="77777777" w:rsidR="00CD484C" w:rsidRDefault="00CD484C">
            <w:pPr>
              <w:jc w:val="center"/>
              <w:rPr>
                <w:sz w:val="18"/>
                <w:szCs w:val="16"/>
              </w:rPr>
            </w:pPr>
            <w:r>
              <w:rPr>
                <w:sz w:val="18"/>
                <w:szCs w:val="16"/>
              </w:rPr>
              <w:t>1/2,8</w:t>
            </w:r>
          </w:p>
        </w:tc>
        <w:tc>
          <w:tcPr>
            <w:tcW w:w="526" w:type="pct"/>
            <w:tcBorders>
              <w:top w:val="single" w:sz="24" w:space="0" w:color="FFFFFF"/>
              <w:left w:val="single" w:sz="24" w:space="0" w:color="FFFFFF"/>
              <w:bottom w:val="single" w:sz="24" w:space="0" w:color="FFFFFF"/>
            </w:tcBorders>
            <w:shd w:val="pct20" w:color="000000" w:fill="FFFFFF"/>
            <w:vAlign w:val="center"/>
          </w:tcPr>
          <w:p w14:paraId="19AFD76C" w14:textId="77777777" w:rsidR="00CD484C" w:rsidRDefault="00CD484C">
            <w:pPr>
              <w:jc w:val="center"/>
              <w:rPr>
                <w:sz w:val="18"/>
                <w:szCs w:val="16"/>
              </w:rPr>
            </w:pPr>
            <w:r>
              <w:rPr>
                <w:sz w:val="18"/>
                <w:szCs w:val="16"/>
              </w:rPr>
              <w:t>3 (8,32)</w:t>
            </w:r>
          </w:p>
        </w:tc>
      </w:tr>
      <w:tr w:rsidR="00CD484C" w14:paraId="1D0C875A" w14:textId="77777777">
        <w:trPr>
          <w:trHeight w:val="70"/>
          <w:jc w:val="center"/>
        </w:trPr>
        <w:tc>
          <w:tcPr>
            <w:tcW w:w="824" w:type="pct"/>
            <w:tcBorders>
              <w:top w:val="single" w:sz="12" w:space="0" w:color="FFFFFF"/>
              <w:bottom w:val="single" w:sz="24" w:space="0" w:color="FFFFFF"/>
              <w:right w:val="single" w:sz="24" w:space="0" w:color="FFFFFF"/>
            </w:tcBorders>
            <w:shd w:val="pct5" w:color="000000" w:fill="FFFFFF"/>
            <w:vAlign w:val="center"/>
          </w:tcPr>
          <w:p w14:paraId="26B7815D" w14:textId="77777777" w:rsidR="00CD484C" w:rsidRDefault="00CD484C">
            <w:pPr>
              <w:jc w:val="both"/>
              <w:rPr>
                <w:sz w:val="18"/>
                <w:szCs w:val="16"/>
              </w:rPr>
            </w:pPr>
            <w:r>
              <w:rPr>
                <w:sz w:val="18"/>
                <w:szCs w:val="16"/>
              </w:rPr>
              <w:t>Амуль</w:t>
            </w:r>
          </w:p>
        </w:tc>
        <w:tc>
          <w:tcPr>
            <w:tcW w:w="543" w:type="pct"/>
            <w:tcBorders>
              <w:top w:val="single" w:sz="12" w:space="0" w:color="FFFFFF"/>
              <w:left w:val="single" w:sz="24" w:space="0" w:color="FFFFFF"/>
              <w:bottom w:val="single" w:sz="24" w:space="0" w:color="FFFFFF"/>
              <w:right w:val="single" w:sz="24" w:space="0" w:color="FFFFFF"/>
            </w:tcBorders>
            <w:shd w:val="pct5" w:color="000000" w:fill="FFFFFF"/>
            <w:vAlign w:val="center"/>
          </w:tcPr>
          <w:p w14:paraId="68EAA234" w14:textId="77777777" w:rsidR="00CD484C" w:rsidRDefault="00CD484C">
            <w:pPr>
              <w:jc w:val="center"/>
              <w:rPr>
                <w:sz w:val="18"/>
                <w:szCs w:val="16"/>
              </w:rPr>
            </w:pPr>
          </w:p>
        </w:tc>
        <w:tc>
          <w:tcPr>
            <w:tcW w:w="541" w:type="pct"/>
            <w:tcBorders>
              <w:top w:val="single" w:sz="12" w:space="0" w:color="FFFFFF"/>
              <w:left w:val="single" w:sz="24" w:space="0" w:color="FFFFFF"/>
              <w:bottom w:val="single" w:sz="24" w:space="0" w:color="FFFFFF"/>
              <w:right w:val="single" w:sz="24" w:space="0" w:color="FFFFFF"/>
            </w:tcBorders>
            <w:shd w:val="pct5" w:color="000000" w:fill="FFFFFF"/>
            <w:vAlign w:val="center"/>
          </w:tcPr>
          <w:p w14:paraId="0C5D816E" w14:textId="77777777" w:rsidR="00CD484C" w:rsidRDefault="00CD484C">
            <w:pPr>
              <w:jc w:val="center"/>
              <w:rPr>
                <w:sz w:val="18"/>
                <w:szCs w:val="16"/>
              </w:rPr>
            </w:pPr>
          </w:p>
        </w:tc>
        <w:tc>
          <w:tcPr>
            <w:tcW w:w="542" w:type="pct"/>
            <w:tcBorders>
              <w:top w:val="single" w:sz="12" w:space="0" w:color="FFFFFF"/>
              <w:left w:val="single" w:sz="24" w:space="0" w:color="FFFFFF"/>
              <w:bottom w:val="single" w:sz="24" w:space="0" w:color="FFFFFF"/>
              <w:right w:val="single" w:sz="24" w:space="0" w:color="FFFFFF"/>
            </w:tcBorders>
            <w:shd w:val="pct5" w:color="000000" w:fill="FFFFFF"/>
            <w:vAlign w:val="center"/>
          </w:tcPr>
          <w:p w14:paraId="7A3B18F2" w14:textId="77777777" w:rsidR="00CD484C" w:rsidRDefault="00CD484C">
            <w:pPr>
              <w:ind w:hanging="6"/>
              <w:jc w:val="center"/>
              <w:rPr>
                <w:sz w:val="18"/>
                <w:szCs w:val="16"/>
              </w:rPr>
            </w:pPr>
          </w:p>
        </w:tc>
        <w:tc>
          <w:tcPr>
            <w:tcW w:w="518" w:type="pct"/>
            <w:tcBorders>
              <w:top w:val="single" w:sz="12" w:space="0" w:color="FFFFFF"/>
              <w:left w:val="single" w:sz="24" w:space="0" w:color="FFFFFF"/>
              <w:bottom w:val="single" w:sz="24" w:space="0" w:color="FFFFFF"/>
              <w:right w:val="single" w:sz="24" w:space="0" w:color="FFFFFF"/>
            </w:tcBorders>
            <w:shd w:val="pct5" w:color="000000" w:fill="FFFFFF"/>
            <w:vAlign w:val="center"/>
          </w:tcPr>
          <w:p w14:paraId="483900C3" w14:textId="77777777" w:rsidR="00CD484C" w:rsidRDefault="00CD484C">
            <w:pPr>
              <w:jc w:val="center"/>
              <w:rPr>
                <w:sz w:val="18"/>
                <w:szCs w:val="16"/>
              </w:rPr>
            </w:pPr>
          </w:p>
        </w:tc>
        <w:tc>
          <w:tcPr>
            <w:tcW w:w="518" w:type="pct"/>
            <w:tcBorders>
              <w:top w:val="single" w:sz="12" w:space="0" w:color="FFFFFF"/>
              <w:left w:val="single" w:sz="24" w:space="0" w:color="FFFFFF"/>
              <w:bottom w:val="single" w:sz="24" w:space="0" w:color="FFFFFF"/>
              <w:right w:val="single" w:sz="24" w:space="0" w:color="FFFFFF"/>
            </w:tcBorders>
            <w:shd w:val="pct5" w:color="000000" w:fill="FFFFFF"/>
            <w:vAlign w:val="center"/>
          </w:tcPr>
          <w:p w14:paraId="4DDF14A0" w14:textId="77777777" w:rsidR="00CD484C" w:rsidRDefault="00CD484C">
            <w:pPr>
              <w:ind w:hanging="20"/>
              <w:jc w:val="center"/>
              <w:rPr>
                <w:sz w:val="18"/>
                <w:szCs w:val="16"/>
              </w:rPr>
            </w:pPr>
          </w:p>
        </w:tc>
        <w:tc>
          <w:tcPr>
            <w:tcW w:w="498" w:type="pct"/>
            <w:tcBorders>
              <w:top w:val="single" w:sz="12" w:space="0" w:color="FFFFFF"/>
              <w:left w:val="single" w:sz="24" w:space="0" w:color="FFFFFF"/>
              <w:bottom w:val="single" w:sz="24" w:space="0" w:color="FFFFFF"/>
              <w:right w:val="single" w:sz="24" w:space="0" w:color="FFFFFF"/>
            </w:tcBorders>
            <w:shd w:val="pct5" w:color="000000" w:fill="FFFFFF"/>
            <w:vAlign w:val="center"/>
          </w:tcPr>
          <w:p w14:paraId="02272B86" w14:textId="77777777" w:rsidR="00CD484C" w:rsidRDefault="00CD484C">
            <w:pPr>
              <w:jc w:val="center"/>
              <w:rPr>
                <w:sz w:val="18"/>
                <w:szCs w:val="16"/>
              </w:rPr>
            </w:pPr>
            <w:r>
              <w:rPr>
                <w:sz w:val="18"/>
                <w:szCs w:val="16"/>
              </w:rPr>
              <w:t>1/2,8</w:t>
            </w:r>
          </w:p>
        </w:tc>
        <w:tc>
          <w:tcPr>
            <w:tcW w:w="489" w:type="pct"/>
            <w:tcBorders>
              <w:top w:val="single" w:sz="12" w:space="0" w:color="FFFFFF"/>
              <w:left w:val="single" w:sz="24" w:space="0" w:color="FFFFFF"/>
              <w:bottom w:val="single" w:sz="24" w:space="0" w:color="FFFFFF"/>
              <w:right w:val="single" w:sz="24" w:space="0" w:color="FFFFFF"/>
            </w:tcBorders>
            <w:shd w:val="pct5" w:color="000000" w:fill="FFFFFF"/>
            <w:vAlign w:val="center"/>
          </w:tcPr>
          <w:p w14:paraId="33BD6EA6" w14:textId="77777777" w:rsidR="00CD484C" w:rsidRDefault="00CD484C">
            <w:pPr>
              <w:jc w:val="center"/>
              <w:rPr>
                <w:sz w:val="18"/>
                <w:szCs w:val="16"/>
              </w:rPr>
            </w:pPr>
            <w:r>
              <w:rPr>
                <w:sz w:val="18"/>
                <w:szCs w:val="16"/>
              </w:rPr>
              <w:t>5 /14</w:t>
            </w:r>
          </w:p>
        </w:tc>
        <w:tc>
          <w:tcPr>
            <w:tcW w:w="526" w:type="pct"/>
            <w:tcBorders>
              <w:top w:val="single" w:sz="12" w:space="0" w:color="FFFFFF"/>
              <w:left w:val="single" w:sz="24" w:space="0" w:color="FFFFFF"/>
              <w:bottom w:val="single" w:sz="24" w:space="0" w:color="FFFFFF"/>
            </w:tcBorders>
            <w:shd w:val="pct5" w:color="000000" w:fill="FFFFFF"/>
            <w:vAlign w:val="center"/>
          </w:tcPr>
          <w:p w14:paraId="054AAE47" w14:textId="77777777" w:rsidR="00CD484C" w:rsidRDefault="00CD484C">
            <w:pPr>
              <w:jc w:val="center"/>
              <w:rPr>
                <w:sz w:val="18"/>
                <w:szCs w:val="16"/>
              </w:rPr>
            </w:pPr>
            <w:r>
              <w:rPr>
                <w:sz w:val="18"/>
                <w:szCs w:val="16"/>
              </w:rPr>
              <w:t>2/2,55</w:t>
            </w:r>
          </w:p>
        </w:tc>
      </w:tr>
      <w:tr w:rsidR="00CD484C" w14:paraId="4C0143A7" w14:textId="77777777">
        <w:trPr>
          <w:trHeight w:val="238"/>
          <w:jc w:val="center"/>
        </w:trPr>
        <w:tc>
          <w:tcPr>
            <w:tcW w:w="824" w:type="pct"/>
            <w:tcBorders>
              <w:top w:val="single" w:sz="12" w:space="0" w:color="FFFFFF"/>
              <w:right w:val="single" w:sz="24" w:space="0" w:color="FFFFFF"/>
            </w:tcBorders>
            <w:shd w:val="pct20" w:color="000000" w:fill="FFFFFF"/>
            <w:vAlign w:val="center"/>
          </w:tcPr>
          <w:p w14:paraId="04B14BF5" w14:textId="77777777" w:rsidR="00CD484C" w:rsidRDefault="00CD484C">
            <w:pPr>
              <w:jc w:val="both"/>
              <w:rPr>
                <w:sz w:val="18"/>
                <w:szCs w:val="16"/>
              </w:rPr>
            </w:pPr>
            <w:r>
              <w:rPr>
                <w:sz w:val="18"/>
                <w:szCs w:val="16"/>
              </w:rPr>
              <w:t>Итого:</w:t>
            </w:r>
          </w:p>
        </w:tc>
        <w:tc>
          <w:tcPr>
            <w:tcW w:w="543" w:type="pct"/>
            <w:tcBorders>
              <w:top w:val="single" w:sz="12" w:space="0" w:color="FFFFFF"/>
              <w:left w:val="single" w:sz="24" w:space="0" w:color="FFFFFF"/>
              <w:right w:val="single" w:sz="24" w:space="0" w:color="FFFFFF"/>
            </w:tcBorders>
            <w:shd w:val="pct20" w:color="000000" w:fill="FFFFFF"/>
            <w:vAlign w:val="center"/>
          </w:tcPr>
          <w:p w14:paraId="20BBBBB1" w14:textId="77777777" w:rsidR="00CD484C" w:rsidRDefault="00CD484C">
            <w:pPr>
              <w:jc w:val="center"/>
              <w:rPr>
                <w:sz w:val="18"/>
                <w:szCs w:val="16"/>
              </w:rPr>
            </w:pPr>
            <w:r>
              <w:rPr>
                <w:sz w:val="18"/>
                <w:szCs w:val="16"/>
              </w:rPr>
              <w:t>1/2,8</w:t>
            </w:r>
          </w:p>
        </w:tc>
        <w:tc>
          <w:tcPr>
            <w:tcW w:w="541" w:type="pct"/>
            <w:tcBorders>
              <w:top w:val="single" w:sz="12" w:space="0" w:color="FFFFFF"/>
              <w:left w:val="single" w:sz="24" w:space="0" w:color="FFFFFF"/>
              <w:right w:val="single" w:sz="24" w:space="0" w:color="FFFFFF"/>
            </w:tcBorders>
            <w:shd w:val="pct20" w:color="000000" w:fill="FFFFFF"/>
            <w:vAlign w:val="center"/>
          </w:tcPr>
          <w:p w14:paraId="5D1C25EE" w14:textId="77777777" w:rsidR="00CD484C" w:rsidRDefault="00CD484C">
            <w:pPr>
              <w:jc w:val="center"/>
              <w:rPr>
                <w:sz w:val="18"/>
                <w:szCs w:val="16"/>
              </w:rPr>
            </w:pPr>
          </w:p>
        </w:tc>
        <w:tc>
          <w:tcPr>
            <w:tcW w:w="542" w:type="pct"/>
            <w:tcBorders>
              <w:top w:val="single" w:sz="12" w:space="0" w:color="FFFFFF"/>
              <w:left w:val="single" w:sz="24" w:space="0" w:color="FFFFFF"/>
              <w:right w:val="single" w:sz="24" w:space="0" w:color="FFFFFF"/>
            </w:tcBorders>
            <w:shd w:val="pct20" w:color="000000" w:fill="FFFFFF"/>
            <w:vAlign w:val="center"/>
          </w:tcPr>
          <w:p w14:paraId="1BE7F0E2" w14:textId="77777777" w:rsidR="00CD484C" w:rsidRDefault="00CD484C">
            <w:pPr>
              <w:ind w:hanging="6"/>
              <w:jc w:val="center"/>
              <w:rPr>
                <w:sz w:val="18"/>
                <w:szCs w:val="16"/>
              </w:rPr>
            </w:pPr>
            <w:r>
              <w:rPr>
                <w:sz w:val="18"/>
                <w:szCs w:val="16"/>
              </w:rPr>
              <w:t>1/2,8</w:t>
            </w:r>
          </w:p>
        </w:tc>
        <w:tc>
          <w:tcPr>
            <w:tcW w:w="518" w:type="pct"/>
            <w:tcBorders>
              <w:top w:val="single" w:sz="12" w:space="0" w:color="FFFFFF"/>
              <w:left w:val="single" w:sz="24" w:space="0" w:color="FFFFFF"/>
              <w:right w:val="single" w:sz="24" w:space="0" w:color="FFFFFF"/>
            </w:tcBorders>
            <w:shd w:val="pct20" w:color="000000" w:fill="FFFFFF"/>
            <w:vAlign w:val="center"/>
          </w:tcPr>
          <w:p w14:paraId="2C10C447" w14:textId="77777777" w:rsidR="00CD484C" w:rsidRDefault="00CD484C">
            <w:pPr>
              <w:jc w:val="center"/>
              <w:rPr>
                <w:sz w:val="18"/>
                <w:szCs w:val="16"/>
              </w:rPr>
            </w:pPr>
            <w:r>
              <w:rPr>
                <w:sz w:val="18"/>
                <w:szCs w:val="16"/>
              </w:rPr>
              <w:t>1/2,8</w:t>
            </w:r>
          </w:p>
        </w:tc>
        <w:tc>
          <w:tcPr>
            <w:tcW w:w="518" w:type="pct"/>
            <w:tcBorders>
              <w:top w:val="single" w:sz="12" w:space="0" w:color="FFFFFF"/>
              <w:left w:val="single" w:sz="24" w:space="0" w:color="FFFFFF"/>
              <w:right w:val="single" w:sz="24" w:space="0" w:color="FFFFFF"/>
            </w:tcBorders>
            <w:shd w:val="pct20" w:color="000000" w:fill="FFFFFF"/>
            <w:vAlign w:val="center"/>
          </w:tcPr>
          <w:p w14:paraId="1A4697C9" w14:textId="77777777" w:rsidR="00CD484C" w:rsidRDefault="00CD484C">
            <w:pPr>
              <w:ind w:hanging="20"/>
              <w:jc w:val="center"/>
              <w:rPr>
                <w:sz w:val="18"/>
                <w:szCs w:val="16"/>
              </w:rPr>
            </w:pPr>
          </w:p>
        </w:tc>
        <w:tc>
          <w:tcPr>
            <w:tcW w:w="498" w:type="pct"/>
            <w:tcBorders>
              <w:top w:val="single" w:sz="12" w:space="0" w:color="FFFFFF"/>
              <w:left w:val="single" w:sz="24" w:space="0" w:color="FFFFFF"/>
              <w:right w:val="single" w:sz="24" w:space="0" w:color="FFFFFF"/>
            </w:tcBorders>
            <w:shd w:val="pct20" w:color="000000" w:fill="FFFFFF"/>
            <w:vAlign w:val="center"/>
          </w:tcPr>
          <w:p w14:paraId="2139B225" w14:textId="77777777" w:rsidR="00CD484C" w:rsidRDefault="00CD484C">
            <w:pPr>
              <w:jc w:val="center"/>
              <w:rPr>
                <w:sz w:val="18"/>
                <w:szCs w:val="16"/>
              </w:rPr>
            </w:pPr>
            <w:r>
              <w:rPr>
                <w:sz w:val="18"/>
                <w:szCs w:val="16"/>
              </w:rPr>
              <w:t>1/2,8</w:t>
            </w:r>
          </w:p>
        </w:tc>
        <w:tc>
          <w:tcPr>
            <w:tcW w:w="489" w:type="pct"/>
            <w:tcBorders>
              <w:top w:val="single" w:sz="12" w:space="0" w:color="FFFFFF"/>
              <w:left w:val="single" w:sz="24" w:space="0" w:color="FFFFFF"/>
              <w:right w:val="single" w:sz="24" w:space="0" w:color="FFFFFF"/>
            </w:tcBorders>
            <w:shd w:val="pct20" w:color="000000" w:fill="FFFFFF"/>
            <w:vAlign w:val="center"/>
          </w:tcPr>
          <w:p w14:paraId="3D73EACA" w14:textId="77777777" w:rsidR="00CD484C" w:rsidRDefault="00CD484C">
            <w:pPr>
              <w:jc w:val="center"/>
              <w:rPr>
                <w:sz w:val="18"/>
                <w:szCs w:val="16"/>
              </w:rPr>
            </w:pPr>
            <w:r>
              <w:rPr>
                <w:sz w:val="18"/>
                <w:szCs w:val="16"/>
              </w:rPr>
              <w:t>17/47,5</w:t>
            </w:r>
          </w:p>
        </w:tc>
        <w:tc>
          <w:tcPr>
            <w:tcW w:w="526" w:type="pct"/>
            <w:tcBorders>
              <w:top w:val="single" w:sz="12" w:space="0" w:color="FFFFFF"/>
              <w:left w:val="single" w:sz="24" w:space="0" w:color="FFFFFF"/>
            </w:tcBorders>
            <w:shd w:val="pct20" w:color="000000" w:fill="FFFFFF"/>
            <w:vAlign w:val="center"/>
          </w:tcPr>
          <w:p w14:paraId="23032DD0" w14:textId="77777777" w:rsidR="00CD484C" w:rsidRDefault="00CD484C">
            <w:pPr>
              <w:jc w:val="center"/>
              <w:rPr>
                <w:sz w:val="18"/>
                <w:szCs w:val="16"/>
              </w:rPr>
            </w:pPr>
            <w:r>
              <w:rPr>
                <w:sz w:val="18"/>
                <w:szCs w:val="16"/>
              </w:rPr>
              <w:t>15/41,71</w:t>
            </w:r>
          </w:p>
        </w:tc>
      </w:tr>
    </w:tbl>
    <w:p w14:paraId="678D3542" w14:textId="77777777" w:rsidR="00CD484C" w:rsidRDefault="00CD484C">
      <w:pPr>
        <w:ind w:firstLine="397"/>
        <w:jc w:val="both"/>
        <w:rPr>
          <w:sz w:val="6"/>
          <w:szCs w:val="16"/>
        </w:rPr>
      </w:pPr>
    </w:p>
    <w:p w14:paraId="2F410BC8" w14:textId="77777777" w:rsidR="00CD484C" w:rsidRDefault="00CD484C">
      <w:pPr>
        <w:ind w:firstLine="397"/>
        <w:jc w:val="both"/>
        <w:rPr>
          <w:spacing w:val="-2"/>
          <w:sz w:val="20"/>
          <w:szCs w:val="16"/>
        </w:rPr>
      </w:pPr>
      <w:r>
        <w:rPr>
          <w:spacing w:val="-2"/>
          <w:sz w:val="20"/>
          <w:szCs w:val="16"/>
        </w:rPr>
        <w:t>Рассмотрим  сначала саманидскую компоненту. Превалирование монет младшей хронологической группы над предшествующей составляет 1,33 (4 к 3). Это не позволяет уверенно говорить о степени обновления хронологического состава. Во всяком случае ясно, что саманидская составляющая образовалась как в результате внутреннего денежного обращения, так незначительного поступления новых монет из Хорасана. Монеты Нисабура прошли через Серахс, Мерв и Хорезм, т.е. по пути, который в свое время частично проделал Ибн Фадлан (Массон М.Е., 1966. – С. 10)</w:t>
      </w:r>
      <w:r>
        <w:rPr>
          <w:rStyle w:val="a6"/>
          <w:spacing w:val="-2"/>
          <w:sz w:val="20"/>
          <w:szCs w:val="16"/>
        </w:rPr>
        <w:footnoteReference w:customMarkFollows="1" w:id="77"/>
        <w:t>1</w:t>
      </w:r>
      <w:r>
        <w:rPr>
          <w:spacing w:val="-2"/>
          <w:sz w:val="20"/>
          <w:szCs w:val="16"/>
        </w:rPr>
        <w:t xml:space="preserve">. </w:t>
      </w:r>
    </w:p>
    <w:p w14:paraId="6D6DB339" w14:textId="45946833" w:rsidR="00CD484C" w:rsidRDefault="00CD484C">
      <w:pPr>
        <w:ind w:firstLine="397"/>
        <w:jc w:val="both"/>
        <w:rPr>
          <w:spacing w:val="-2"/>
          <w:sz w:val="20"/>
          <w:szCs w:val="16"/>
        </w:rPr>
      </w:pPr>
      <w:r>
        <w:rPr>
          <w:spacing w:val="-2"/>
          <w:sz w:val="20"/>
          <w:szCs w:val="16"/>
        </w:rPr>
        <w:t>Вернемся к кладу Бальмеры 1862 г. Он состоял из целых и разломанных вдвое, вчетверо монет эмиров династии Бувейхидов,  в большинстве своем плохой сохранности, из которых  нумизмату удалось купить только 48 и несколько обломков</w:t>
      </w:r>
      <w:r>
        <w:rPr>
          <w:rStyle w:val="a6"/>
          <w:spacing w:val="-2"/>
          <w:sz w:val="20"/>
          <w:szCs w:val="16"/>
        </w:rPr>
        <w:footnoteReference w:customMarkFollows="1" w:id="78"/>
        <w:t>2</w:t>
      </w:r>
      <w:r>
        <w:rPr>
          <w:spacing w:val="-2"/>
          <w:sz w:val="20"/>
          <w:szCs w:val="16"/>
        </w:rPr>
        <w:t xml:space="preserve">. Согласно определению бывшего профессора </w:t>
      </w:r>
      <w:r w:rsidR="00395416">
        <w:rPr>
          <w:noProof/>
          <w:spacing w:val="-2"/>
          <w:sz w:val="20"/>
          <w:szCs w:val="16"/>
        </w:rPr>
        <mc:AlternateContent>
          <mc:Choice Requires="wps">
            <w:drawing>
              <wp:anchor distT="0" distB="0" distL="114300" distR="114300" simplePos="0" relativeHeight="251670016" behindDoc="0" locked="1" layoutInCell="1" allowOverlap="1" wp14:anchorId="7C516C0B" wp14:editId="0A67A793">
                <wp:simplePos x="0" y="0"/>
                <wp:positionH relativeFrom="column">
                  <wp:posOffset>0</wp:posOffset>
                </wp:positionH>
                <wp:positionV relativeFrom="paragraph">
                  <wp:posOffset>-252730</wp:posOffset>
                </wp:positionV>
                <wp:extent cx="4095750" cy="186690"/>
                <wp:effectExtent l="0" t="1905" r="3810" b="1905"/>
                <wp:wrapNone/>
                <wp:docPr id="102620015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35862"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1BC26DBD"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16C0B" id="Text Box 232" o:spid="_x0000_s1075" type="#_x0000_t202" style="position:absolute;left:0;text-align:left;margin-left:0;margin-top:-19.9pt;width:322.5pt;height:14.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d/k/c7wEAAMIDAAAOAAAAAAAAAAAAAAAAAC4CAABkcnMvZTJv&#10;RG9jLnhtbFBLAQItABQABgAIAAAAIQCnTgMH3gAAAAgBAAAPAAAAAAAAAAAAAAAAAEkEAABkcnMv&#10;ZG93bnJldi54bWxQSwUGAAAAAAQABADzAAAAVAUAAAAA&#10;" stroked="f">
                <v:textbox inset="0,0,0,0">
                  <w:txbxContent>
                    <w:p w14:paraId="3BE35862"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1BC26DBD" w14:textId="77777777" w:rsidR="00AE2133" w:rsidRDefault="00AE2133">
                      <w:pPr>
                        <w:rPr>
                          <w:b/>
                          <w:bCs/>
                          <w:sz w:val="2"/>
                          <w:u w:val="single"/>
                        </w:rPr>
                      </w:pPr>
                    </w:p>
                  </w:txbxContent>
                </v:textbox>
                <w10:anchorlock/>
              </v:shape>
            </w:pict>
          </mc:Fallback>
        </mc:AlternateContent>
      </w:r>
      <w:r>
        <w:rPr>
          <w:spacing w:val="-2"/>
          <w:sz w:val="20"/>
          <w:szCs w:val="16"/>
        </w:rPr>
        <w:t xml:space="preserve">Казанского </w:t>
      </w:r>
      <w:r>
        <w:rPr>
          <w:spacing w:val="-2"/>
          <w:sz w:val="20"/>
          <w:szCs w:val="16"/>
        </w:rPr>
        <w:lastRenderedPageBreak/>
        <w:t>университета И.Ф. Готвальда 2 целых и 2 половинки принадлежали чекану Муиз-ад-Даула (933–960), на одной из них удалось прочесть имя халифа Таш-лиллаха; 2 монеты /город – ?, год – ?/ битых от имени Адод ад-Даула (949–983), 2 монеты Руки ад-Даула (на одной имя халифа Таш-лиллах) и 14 монет Фахр ад-Даула (984–997). По 2 монеты этого эмитента имеют сведения о халифах Таш- и Кадыр лиллаха. Последний по замечанию В.В. Бартольда, в 991 г. был возведен на халифский престол Бувейхидами (Бартольд В.В. 1963. – С. 333). Таким образом, из случайной выборки, составляющей 50 монет мы располагаем  пусть и отрывочными, сведениями о 22 монетах клада (44%). Оставим в стороне мысль о возможности экстраполяции полученных сведений на весь имевшийся в распоряжении Лихачева состав клада (50 монет); заметим, что более важное значение имеют данные о 14 монетах Фахр ад-Даула, составляющие 28% состава клада, образующую младшую хронологическую группу.</w:t>
      </w:r>
    </w:p>
    <w:p w14:paraId="24817B0F" w14:textId="77777777" w:rsidR="00CD484C" w:rsidRDefault="00CD484C">
      <w:pPr>
        <w:ind w:firstLine="397"/>
        <w:jc w:val="both"/>
        <w:rPr>
          <w:sz w:val="20"/>
          <w:szCs w:val="16"/>
        </w:rPr>
      </w:pPr>
      <w:r>
        <w:rPr>
          <w:sz w:val="20"/>
          <w:szCs w:val="16"/>
        </w:rPr>
        <w:t>Монеты этого Буида – Абул-л-Хасана Али Фахр ад-Даулы широко представлены в соседнем Чистопольском кладе, эмитированные в Табаристане с 375 по 384/995 г.: Джурджан-Астрабад-Дамган (Лихачев А.Ф., 1887. № 24–30), где именно монета Фахр ад-Даулы является младшей</w:t>
      </w:r>
      <w:r>
        <w:rPr>
          <w:rStyle w:val="a6"/>
          <w:sz w:val="20"/>
          <w:szCs w:val="16"/>
        </w:rPr>
        <w:footnoteReference w:customMarkFollows="1" w:id="79"/>
        <w:t>3</w:t>
      </w:r>
      <w:r>
        <w:rPr>
          <w:sz w:val="20"/>
          <w:szCs w:val="16"/>
        </w:rPr>
        <w:t>. Интересно, что все новые монеты клада, названных монетных дворов выпали в составе Чистпольского клада, Это позволяет выделить географическую группу монет клада, происходящую из Амуля, Джурджана, Сари, Астрабада и Дамгана в самостоятельную группу. Соотношение младших монет Астрабада, Джурджана к предшествующим  в младшей хронологической группе составляет 3 к 1, тогда как амульские монеты дают иную картину 2 : 5, что, казалось бы, свидетельствует о меньшей интенсивности связей Амуля с Европой</w:t>
      </w:r>
      <w:r>
        <w:rPr>
          <w:rStyle w:val="a6"/>
          <w:sz w:val="20"/>
          <w:szCs w:val="16"/>
        </w:rPr>
        <w:footnoteReference w:customMarkFollows="1" w:id="80"/>
        <w:t>4</w:t>
      </w:r>
      <w:r>
        <w:rPr>
          <w:sz w:val="20"/>
          <w:szCs w:val="16"/>
        </w:rPr>
        <w:t>. Монеты чекана Фахр ад-Даулы Астрабада и Джурджана несмотря на их численное преобладание над предшествующей хронологической группой отражают лишь  мощность эмиссии данных городов, но не степень интенсивность торговых связей с севером. Прибавим сюда и тот факт, что совместный чекан братьев Фахр-ад Даулы и Хосроу Фируза предположительно в упомянутом городе существовал еще в 378/988–989 г. (Мельникова Е.А., 1996. – С. 253, с. 52). Ареал эмиссионного распределения клада Балымеры, следовательно, дата зарытия которого синхронна Чистопольскому, можно очертить в квадрате: Джурджан – Ахваз – Мадинат ас-Салам – Амуль.</w:t>
      </w:r>
    </w:p>
    <w:p w14:paraId="165AB0EA" w14:textId="77777777" w:rsidR="00CD484C" w:rsidRDefault="00CD484C">
      <w:pPr>
        <w:ind w:firstLine="397"/>
        <w:jc w:val="both"/>
        <w:rPr>
          <w:spacing w:val="-4"/>
          <w:sz w:val="20"/>
          <w:szCs w:val="16"/>
        </w:rPr>
      </w:pPr>
      <w:r>
        <w:rPr>
          <w:spacing w:val="-4"/>
          <w:sz w:val="20"/>
          <w:szCs w:val="16"/>
        </w:rPr>
        <w:lastRenderedPageBreak/>
        <w:t>Рассматривая чекан  буидского  династа Фахр ад-Даулы, Р.Р. Фасмер выделил три группы его монет, осуществив типологию на основе повышения титулатуры правителя – шахиншаха. «Совершенно обособленную группу, – писал Фасмер Р.Р., – составляют амульские дирхемы Фахр ад-Даулы, на аверсе которых, кроме имени халифа, значится еще имя Хосроу Фируза б.Руки ад-Даула. Соответственно вышеизложенному и среди амульских дирхемов следует различать три типа» (Фасмер Р.Р., 1937. – С.  7–9).</w:t>
      </w:r>
    </w:p>
    <w:p w14:paraId="3041B8E8" w14:textId="77777777" w:rsidR="00CD484C" w:rsidRDefault="00CD484C">
      <w:pPr>
        <w:ind w:firstLine="397"/>
        <w:jc w:val="both"/>
        <w:rPr>
          <w:spacing w:val="-2"/>
          <w:sz w:val="20"/>
          <w:szCs w:val="16"/>
        </w:rPr>
      </w:pPr>
      <w:r>
        <w:rPr>
          <w:spacing w:val="-2"/>
          <w:sz w:val="20"/>
          <w:szCs w:val="16"/>
        </w:rPr>
        <w:t>В соседнем и  более «молодом» кладом Крещенный (Красный) баран, о чем пойдет речь ниже, монеты чекана Амуля (южнокаспийского), составляющие 2,56% клада эмитированные от имени Фахр ад-Даула в диапазоне 990–997 гг. в Амуле, а поскольку в 990 г. в Амуле сидел последний сын Руки ад-Даула – Хосроу Фируз, то даты монеты Фахр ад-Даула сужаются до 991–997 г. В целом эмиссионное распределение трех отмененных выше кладов, позволяет придти к заключению о том, что в последней четверти Х в. монеты Гургана и Табаристана, эмитированные Фахр ад-Даула,  направлялись в Европу по Волге через южнокаспийский город Амуль.</w:t>
      </w:r>
    </w:p>
    <w:p w14:paraId="645F6316" w14:textId="62DCF7EF" w:rsidR="00CD484C" w:rsidRDefault="00CD484C">
      <w:pPr>
        <w:ind w:firstLine="397"/>
        <w:jc w:val="both"/>
        <w:rPr>
          <w:spacing w:val="-2"/>
          <w:sz w:val="20"/>
          <w:szCs w:val="16"/>
        </w:rPr>
      </w:pPr>
      <w:r>
        <w:rPr>
          <w:spacing w:val="-2"/>
          <w:sz w:val="20"/>
          <w:szCs w:val="16"/>
        </w:rPr>
        <w:t>Чистопольский клад единственный, в котором бувейхидский чекан превалирует над саманидским (Янин В.Л., 1956. – С. 132), что объясняется его формированием на завершающем этапе из потока, послужившего основой для выпадения клада Бальмеры, где отмечен пониженный процент новых монет в десятилетие  985–994 гг. Это в свою очередь позволяет с большей уверенностью датировать последний серединой 990-х гг. Х в. Наконец, из оставленных находчикам 15 монет Чистопольского клада, как известно, 12 принадлежали чекану Фахр ад-Даулы, следовательно их в рассматриваемом кладе становиться 19, т.е. эмитированных в течение последнего  десятилетия Х в., т.е. составит 22 монеты из 41 бувейхидской части памятника, тогда как соотношение младшей хронологической группы рассматриваемой части клада к предшествующей составит 1,46 (22 : 15). Приведенные выкладки свидетельствуют об определенном импульсе чеканки Фахр ад-Даула в 990-х гг., который, скорее всего в 991 г. вытеснил брата Хосроу Фируза из Амуля и интенсифицировал движение своих дензнаков через Каспий – Волгу в Европу</w:t>
      </w:r>
      <w:r>
        <w:rPr>
          <w:rStyle w:val="a6"/>
          <w:spacing w:val="-2"/>
          <w:sz w:val="20"/>
          <w:szCs w:val="16"/>
        </w:rPr>
        <w:footnoteReference w:customMarkFollows="1" w:id="81"/>
        <w:t>5</w:t>
      </w:r>
      <w:r>
        <w:rPr>
          <w:spacing w:val="-2"/>
          <w:sz w:val="20"/>
          <w:szCs w:val="16"/>
        </w:rPr>
        <w:t>. Заметим, что Фахр ад-Даула, находился в столице саманидской провинции Хорасан в Нишапуре (Лихачев А.Ф.,1887. – С. 123), куда бежал, на что обратил внимание Р.Р. Фасмер (1937. – С. 6–7), после поражения в совместной с зияридом Кабусом б.Вашмугиром в битве при Джумада близ Астрабада в 371/381–382 г.  против своего более старшего брата Абу Шуджи Фана Хушру Адод ад-Даулы. Значит, придя во власть в Табаристане, в 373 г.х. /Джурджан/ (Фасмер Р.Р., 1914. – С. 9), Фахр ад-Даула продолжил торговые и быть может культурные традиции Саманидов в тор</w:t>
      </w:r>
      <w:r w:rsidR="00395416">
        <w:rPr>
          <w:noProof/>
          <w:spacing w:val="-2"/>
          <w:sz w:val="20"/>
          <w:szCs w:val="16"/>
        </w:rPr>
        <mc:AlternateContent>
          <mc:Choice Requires="wps">
            <w:drawing>
              <wp:anchor distT="0" distB="0" distL="114300" distR="114300" simplePos="0" relativeHeight="251671040" behindDoc="0" locked="1" layoutInCell="1" allowOverlap="1" wp14:anchorId="5AAACAE5" wp14:editId="5F9B4618">
                <wp:simplePos x="0" y="0"/>
                <wp:positionH relativeFrom="column">
                  <wp:posOffset>0</wp:posOffset>
                </wp:positionH>
                <wp:positionV relativeFrom="paragraph">
                  <wp:posOffset>-252730</wp:posOffset>
                </wp:positionV>
                <wp:extent cx="4095750" cy="186690"/>
                <wp:effectExtent l="0" t="1905" r="3810" b="1905"/>
                <wp:wrapNone/>
                <wp:docPr id="2084093994"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14D25A"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6ED6A57A"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ACAE5" id="Text Box 233" o:spid="_x0000_s1076" type="#_x0000_t202" style="position:absolute;left:0;text-align:left;margin-left:0;margin-top:-19.9pt;width:322.5pt;height:14.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x2xwb7wEAAMIDAAAOAAAAAAAAAAAAAAAAAC4CAABkcnMvZTJv&#10;RG9jLnhtbFBLAQItABQABgAIAAAAIQCnTgMH3gAAAAgBAAAPAAAAAAAAAAAAAAAAAEkEAABkcnMv&#10;ZG93bnJldi54bWxQSwUGAAAAAAQABADzAAAAVAUAAAAA&#10;" stroked="f">
                <v:textbox inset="0,0,0,0">
                  <w:txbxContent>
                    <w:p w14:paraId="3914D25A"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6ED6A57A" w14:textId="77777777" w:rsidR="00AE2133" w:rsidRDefault="00AE2133">
                      <w:pPr>
                        <w:rPr>
                          <w:b/>
                          <w:bCs/>
                          <w:sz w:val="2"/>
                          <w:u w:val="single"/>
                        </w:rPr>
                      </w:pPr>
                    </w:p>
                  </w:txbxContent>
                </v:textbox>
                <w10:anchorlock/>
              </v:shape>
            </w:pict>
          </mc:Fallback>
        </mc:AlternateContent>
      </w:r>
      <w:r>
        <w:rPr>
          <w:spacing w:val="-2"/>
          <w:sz w:val="20"/>
          <w:szCs w:val="16"/>
        </w:rPr>
        <w:t>гово-</w:t>
      </w:r>
      <w:r>
        <w:rPr>
          <w:spacing w:val="-2"/>
          <w:sz w:val="20"/>
          <w:szCs w:val="16"/>
        </w:rPr>
        <w:lastRenderedPageBreak/>
        <w:t>экономических связях с севером. Об этом свидетельствует географическая связка монет Чистопольского клада Нишапур – Мерв</w:t>
      </w:r>
      <w:r>
        <w:rPr>
          <w:rStyle w:val="a6"/>
          <w:spacing w:val="-2"/>
          <w:sz w:val="20"/>
          <w:szCs w:val="16"/>
        </w:rPr>
        <w:footnoteReference w:customMarkFollows="1" w:id="82"/>
        <w:t>6</w:t>
      </w:r>
      <w:r>
        <w:rPr>
          <w:spacing w:val="-2"/>
          <w:sz w:val="20"/>
          <w:szCs w:val="16"/>
        </w:rPr>
        <w:t>.</w:t>
      </w:r>
    </w:p>
    <w:p w14:paraId="3A6935C8" w14:textId="77777777" w:rsidR="00CD484C" w:rsidRDefault="00CD484C">
      <w:pPr>
        <w:ind w:firstLine="397"/>
        <w:jc w:val="both"/>
        <w:rPr>
          <w:sz w:val="20"/>
          <w:szCs w:val="16"/>
        </w:rPr>
      </w:pPr>
      <w:r>
        <w:rPr>
          <w:sz w:val="20"/>
          <w:szCs w:val="16"/>
        </w:rPr>
        <w:t>Интересно вместе с тем заметить, что монеты Бувейхида Фахр ад-Даула дальше Владимирщины и Ярославщины не проникали (Марков А.К., 1910, с.4-5. № 33; 53. 309). В находках 1852 г. из Ярославской губернии дирхем предпоследнего сына Руки ад-Даулы имеет дату 991(?) г., и должен быть омоложен на 2, как минимум, года. В целом же монеты указанного эмира известны в Поволжье только по трем кладам Волжской Булгарии. В Переяславском кладе 1912 г. (Фасмер Р.Р., 1914. – С. 11–12) имеются 47 монет Фахр ад-Даулы 373-379 гг. выпуска. Известны также монеты из клада неустановленного происхождения, находящиеся в фондах Черниговского Исторического Музея,  имеющие граффити на дирхеме раннего чекана Фахр ад-Даулы 374–378 г.х. (Мельникова Е.А., 1996. – С. 253), а также одна монета из Витебском клада 1910 г. 374 г. чекан Астрабада, изученный Р.Р. Фасмером (1937. – С. 2). Вероятно, эта самая западная монета названного Буида.</w:t>
      </w:r>
    </w:p>
    <w:p w14:paraId="71411DFC" w14:textId="77777777" w:rsidR="00CD484C" w:rsidRDefault="00CD484C">
      <w:pPr>
        <w:ind w:firstLine="397"/>
        <w:jc w:val="both"/>
        <w:rPr>
          <w:sz w:val="20"/>
          <w:szCs w:val="16"/>
        </w:rPr>
      </w:pPr>
      <w:r>
        <w:rPr>
          <w:sz w:val="20"/>
          <w:szCs w:val="16"/>
        </w:rPr>
        <w:t xml:space="preserve">Для характеристики денежного обращения, представленного Чистопольским кладом, попытаемся изучить и его хрнолого-династийное распределение /Рис. 2/. </w:t>
      </w:r>
    </w:p>
    <w:p w14:paraId="6A282EB3" w14:textId="77777777" w:rsidR="00CD484C" w:rsidRDefault="00CD484C">
      <w:pPr>
        <w:ind w:firstLine="397"/>
        <w:jc w:val="both"/>
        <w:rPr>
          <w:sz w:val="6"/>
          <w:szCs w:val="16"/>
        </w:rPr>
      </w:pPr>
    </w:p>
    <w:p w14:paraId="2294876F" w14:textId="7EB4D7A3" w:rsidR="00CD484C" w:rsidRDefault="00395416">
      <w:pPr>
        <w:jc w:val="center"/>
        <w:rPr>
          <w:sz w:val="20"/>
          <w:szCs w:val="16"/>
        </w:rPr>
      </w:pPr>
      <w:r>
        <w:rPr>
          <w:noProof/>
          <w:sz w:val="20"/>
          <w:szCs w:val="16"/>
        </w:rPr>
        <mc:AlternateContent>
          <mc:Choice Requires="wps">
            <w:drawing>
              <wp:anchor distT="0" distB="0" distL="114300" distR="114300" simplePos="0" relativeHeight="251616768" behindDoc="0" locked="0" layoutInCell="1" allowOverlap="1" wp14:anchorId="6536986B" wp14:editId="1DF5EDE9">
                <wp:simplePos x="0" y="0"/>
                <wp:positionH relativeFrom="column">
                  <wp:posOffset>685800</wp:posOffset>
                </wp:positionH>
                <wp:positionV relativeFrom="paragraph">
                  <wp:posOffset>86995</wp:posOffset>
                </wp:positionV>
                <wp:extent cx="2743200" cy="457200"/>
                <wp:effectExtent l="0" t="0" r="3810" b="1905"/>
                <wp:wrapNone/>
                <wp:docPr id="125991322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BC5AA" id="Rectangle 38" o:spid="_x0000_s1026" style="position:absolute;margin-left:54pt;margin-top:6.85pt;width:3in;height:3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" stroked="f"/>
            </w:pict>
          </mc:Fallback>
        </mc:AlternateContent>
      </w:r>
      <w:r>
        <w:rPr>
          <w:noProof/>
          <w:sz w:val="20"/>
          <w:szCs w:val="16"/>
        </w:rPr>
        <w:drawing>
          <wp:inline distT="0" distB="0" distL="0" distR="0" wp14:anchorId="62B5A082" wp14:editId="07624D56">
            <wp:extent cx="3744595" cy="2536190"/>
            <wp:effectExtent l="0" t="0" r="0" b="0"/>
            <wp:docPr id="34"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71C7136" w14:textId="77777777" w:rsidR="00CD484C" w:rsidRDefault="00CD484C">
      <w:pPr>
        <w:pStyle w:val="21"/>
        <w:ind w:firstLine="0"/>
        <w:jc w:val="center"/>
        <w:rPr>
          <w:i/>
          <w:iCs/>
          <w:sz w:val="18"/>
          <w:lang w:val="ru-RU"/>
        </w:rPr>
      </w:pPr>
      <w:r>
        <w:rPr>
          <w:b/>
          <w:bCs/>
          <w:i/>
          <w:iCs/>
          <w:sz w:val="18"/>
          <w:lang w:val="ru-RU"/>
        </w:rPr>
        <w:t>Рис. 2.</w:t>
      </w:r>
      <w:r>
        <w:rPr>
          <w:i/>
          <w:iCs/>
          <w:sz w:val="18"/>
          <w:lang w:val="ru-RU"/>
        </w:rPr>
        <w:t xml:space="preserve"> Чистопольский клад 1885 г. Хронологго-династийное распределение. </w:t>
      </w:r>
      <w:r>
        <w:rPr>
          <w:i/>
          <w:iCs/>
          <w:sz w:val="18"/>
          <w:lang w:val="ru-RU"/>
        </w:rPr>
        <w:br/>
        <w:t>Учитывается 52 монеты</w:t>
      </w:r>
    </w:p>
    <w:p w14:paraId="592FEDD2" w14:textId="77777777" w:rsidR="00CD484C" w:rsidRDefault="00CD484C">
      <w:pPr>
        <w:pStyle w:val="21"/>
        <w:ind w:firstLine="397"/>
        <w:rPr>
          <w:lang w:val="ru-RU"/>
        </w:rPr>
      </w:pPr>
      <w:r>
        <w:rPr>
          <w:lang w:val="ru-RU"/>
        </w:rPr>
        <w:lastRenderedPageBreak/>
        <w:t>В данном распределении мы учли неопределяемые дирхемы Мувейд ад-Даулы (Абул Мансур Буи) – сына Руки ад-Даулы – 3 экз., отнеся их в ХГ, предшествующей младшей, т.к. он умер в 373/983 г. и 12 монет Фахр ад-Даулы, отнеся их условно в младшую ХГ. В результате чего мы получили распределение, подтверждающее  мысль В.Л. Янина (1956. – С. 130) и А.В. Фомина (1995. – С. 65) быстром обновлении состава денежного обращения в районах наиболее близко расположенных к местам вывоза монет – младшая хронологическая группа /ХГ/, основу которой составляют дирхемы Буидов, занимает 51,92% клада, превышая предшествующую ей группу в соотношении 1,35, причем две названные группы монет занимают 90,38% всего состава клада.</w:t>
      </w:r>
    </w:p>
    <w:p w14:paraId="1EC37CE3" w14:textId="77777777" w:rsidR="00CD484C" w:rsidRDefault="00CD484C">
      <w:pPr>
        <w:ind w:firstLine="397"/>
        <w:jc w:val="both"/>
        <w:rPr>
          <w:sz w:val="20"/>
          <w:szCs w:val="16"/>
        </w:rPr>
      </w:pPr>
      <w:r>
        <w:rPr>
          <w:sz w:val="20"/>
          <w:szCs w:val="16"/>
        </w:rPr>
        <w:t xml:space="preserve">Однако, возвращаясь к методике анализа хронолого-днастийного состава клада, разработанной В.Л. Яниным (1956. – С. 66–69) в основе которой лежит требование установить определяющую часть клада, отсекая, при этом старшие монеты. В данном кладе – это хронологическая группа 915–924 гг., представленная, к тому же брактиатами. В этом случае старшей монетой клада следует признать саманидский дирхем Нуха б.Насра (331–343/943–954), выпущенный в Самарканде в 333/944 г. Из чего следует, что хронологический диапазон Чистопольского клада 1885 г. составляет 50 лет. </w:t>
      </w:r>
    </w:p>
    <w:p w14:paraId="4C9AE402" w14:textId="77777777" w:rsidR="00CD484C" w:rsidRDefault="00CD484C">
      <w:pPr>
        <w:ind w:firstLine="397"/>
        <w:jc w:val="both"/>
        <w:rPr>
          <w:sz w:val="20"/>
          <w:szCs w:val="16"/>
        </w:rPr>
      </w:pPr>
      <w:r>
        <w:rPr>
          <w:sz w:val="20"/>
          <w:szCs w:val="16"/>
        </w:rPr>
        <w:t>Таким образом, Чистопольский клад складывается из монет, обращавшихся на одном из локальных рынков Волжской Булгарии. Источник бувейхидской части клада, что следует из приведенного выше устанавливается достаточно просто – это произошло из монетного потока, «принесшего» с собой клад Балымеры. Происхождение более ранней части Чистопольского клада устанавливается, если попытаться выделить саманидскую, точнее симджуридскую т.е. хорасанскую составляющую клада, анализ которой хронологическим методом не оставляет сомнений в том, что она выпала из монетного потока, принесшего на среднюю Волгу наверное последние монеты саманидской державы. Это тем более интересно, что  в данный период времени Саманидскяая держава распадалась на ряд самостоятельных владений (Массон В.М., 1999. – С. 47).</w:t>
      </w:r>
    </w:p>
    <w:p w14:paraId="6D2A0EDE" w14:textId="77777777" w:rsidR="00CD484C" w:rsidRDefault="00CD484C">
      <w:pPr>
        <w:ind w:firstLine="397"/>
        <w:jc w:val="both"/>
        <w:rPr>
          <w:sz w:val="20"/>
          <w:szCs w:val="16"/>
        </w:rPr>
      </w:pPr>
      <w:r>
        <w:rPr>
          <w:sz w:val="20"/>
          <w:szCs w:val="16"/>
        </w:rPr>
        <w:t xml:space="preserve">Судя по трем нисабурским монетам (Лихачев А.Ф., 1887. № 8–10) с сер. 980-х гг. Хорасан стал полунезависимым  территориальным образованием Саманидской империи – здесь правили полководцы, носившие громкие титулы (лакабы) «Меч государства», «Меч народа» (мусульманского). Саманидские монеты клада также свидетельствуют о том, что военоначальник Абу Али Симджур получил от Нуха II Мансура лакаб Имад ад-Даула («Подпора государства») в 991 г., а в 992 г. в состав Симджуридского государства вошел Мерв. /Рис. 3/. Известна более поздняя мервская монета также названного эмира с пакабом «вспомоществующий небом» 383/993 г. </w:t>
      </w:r>
    </w:p>
    <w:p w14:paraId="01895B4E" w14:textId="77777777" w:rsidR="00CD484C" w:rsidRDefault="00CD484C">
      <w:pPr>
        <w:pBdr>
          <w:top w:val="single" w:sz="6" w:space="1" w:color="auto" w:shadow="1"/>
          <w:left w:val="single" w:sz="6" w:space="0" w:color="auto" w:shadow="1"/>
          <w:bottom w:val="single" w:sz="6" w:space="0" w:color="auto" w:shadow="1"/>
          <w:right w:val="single" w:sz="6" w:space="0" w:color="auto" w:shadow="1"/>
        </w:pBdr>
        <w:jc w:val="center"/>
        <w:rPr>
          <w:sz w:val="20"/>
          <w:szCs w:val="16"/>
        </w:rPr>
      </w:pPr>
      <w:r>
        <w:rPr>
          <w:sz w:val="20"/>
          <w:szCs w:val="16"/>
        </w:rPr>
        <w:object w:dxaOrig="11024" w:dyaOrig="4920" w14:anchorId="6CDB8805">
          <v:shape id="_x0000_i1032" type="#_x0000_t75" style="width:285.4pt;height:131.65pt" o:ole="">
            <v:imagedata r:id="rId53" o:title="" cropright="1979f"/>
          </v:shape>
          <o:OLEObject Type="Embed" ProgID="PBrush" ShapeID="_x0000_i1032" DrawAspect="Content" ObjectID="_1816884172" r:id="rId54"/>
        </w:object>
      </w:r>
    </w:p>
    <w:p w14:paraId="0D806E2B" w14:textId="1CA7C0CE" w:rsidR="00CD484C" w:rsidRDefault="00395416">
      <w:pPr>
        <w:ind w:firstLine="397"/>
        <w:jc w:val="center"/>
        <w:rPr>
          <w:i/>
          <w:iCs/>
          <w:sz w:val="20"/>
          <w:szCs w:val="16"/>
        </w:rPr>
      </w:pPr>
      <w:r>
        <w:rPr>
          <w:i/>
          <w:iCs/>
          <w:noProof/>
          <w:sz w:val="20"/>
          <w:szCs w:val="16"/>
        </w:rPr>
        <mc:AlternateContent>
          <mc:Choice Requires="wps">
            <w:drawing>
              <wp:anchor distT="0" distB="0" distL="114300" distR="114300" simplePos="0" relativeHeight="251672064" behindDoc="0" locked="1" layoutInCell="1" allowOverlap="1" wp14:anchorId="7A8229EB" wp14:editId="6EC5284B">
                <wp:simplePos x="0" y="0"/>
                <wp:positionH relativeFrom="column">
                  <wp:posOffset>0</wp:posOffset>
                </wp:positionH>
                <wp:positionV relativeFrom="paragraph">
                  <wp:posOffset>-1974850</wp:posOffset>
                </wp:positionV>
                <wp:extent cx="4095750" cy="186690"/>
                <wp:effectExtent l="0" t="1905" r="3810" b="1905"/>
                <wp:wrapNone/>
                <wp:docPr id="247693606"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3C0A3A"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446113A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229EB" id="Text Box 234" o:spid="_x0000_s1077" type="#_x0000_t202" style="position:absolute;left:0;text-align:left;margin-left:0;margin-top:-155.5pt;width:322.5pt;height:14.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" stroked="f">
                <v:textbox inset="0,0,0,0">
                  <w:txbxContent>
                    <w:p w14:paraId="323C0A3A"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446113A9" w14:textId="77777777" w:rsidR="00AE2133" w:rsidRDefault="00AE2133">
                      <w:pPr>
                        <w:rPr>
                          <w:b/>
                          <w:bCs/>
                          <w:sz w:val="2"/>
                          <w:u w:val="single"/>
                        </w:rPr>
                      </w:pPr>
                    </w:p>
                  </w:txbxContent>
                </v:textbox>
                <w10:anchorlock/>
              </v:shape>
            </w:pict>
          </mc:Fallback>
        </mc:AlternateContent>
      </w:r>
    </w:p>
    <w:p w14:paraId="130F2F42" w14:textId="77777777" w:rsidR="00CD484C" w:rsidRDefault="00CD484C">
      <w:pPr>
        <w:jc w:val="center"/>
        <w:rPr>
          <w:sz w:val="18"/>
          <w:szCs w:val="16"/>
        </w:rPr>
      </w:pPr>
      <w:r>
        <w:rPr>
          <w:b/>
          <w:bCs/>
          <w:i/>
          <w:iCs/>
          <w:sz w:val="18"/>
          <w:szCs w:val="16"/>
        </w:rPr>
        <w:t>Рис. 3.</w:t>
      </w:r>
      <w:r>
        <w:rPr>
          <w:i/>
          <w:iCs/>
          <w:sz w:val="18"/>
          <w:szCs w:val="16"/>
        </w:rPr>
        <w:t xml:space="preserve"> Дирхем Абу Али Мухам</w:t>
      </w:r>
      <w:r>
        <w:rPr>
          <w:i/>
          <w:iCs/>
          <w:sz w:val="18"/>
          <w:szCs w:val="16"/>
        </w:rPr>
        <w:softHyphen/>
        <w:t xml:space="preserve">меда б. Насира ад-Даула Симджура </w:t>
      </w:r>
      <w:r>
        <w:rPr>
          <w:i/>
          <w:iCs/>
          <w:sz w:val="18"/>
          <w:szCs w:val="16"/>
        </w:rPr>
        <w:br/>
        <w:t>из Чистопольского клада. Чекан Мерва 382 г.х. (по А.Ф. Лихачеву)</w:t>
      </w:r>
    </w:p>
    <w:p w14:paraId="4894A877" w14:textId="77777777" w:rsidR="00CD484C" w:rsidRDefault="00CD484C">
      <w:pPr>
        <w:ind w:firstLine="397"/>
        <w:jc w:val="both"/>
        <w:rPr>
          <w:sz w:val="20"/>
          <w:szCs w:val="16"/>
        </w:rPr>
      </w:pPr>
    </w:p>
    <w:p w14:paraId="0A0FC93E" w14:textId="77777777" w:rsidR="00CD484C" w:rsidRDefault="00CD484C">
      <w:pPr>
        <w:ind w:firstLine="397"/>
        <w:jc w:val="both"/>
        <w:rPr>
          <w:sz w:val="20"/>
          <w:szCs w:val="16"/>
        </w:rPr>
      </w:pPr>
      <w:r>
        <w:rPr>
          <w:sz w:val="20"/>
          <w:szCs w:val="16"/>
        </w:rPr>
        <w:t>Наверное, это были последние монеты с именем династии Саманидов, поступившие в Европу. Две монеты Абу Али Мухам</w:t>
      </w:r>
      <w:r>
        <w:rPr>
          <w:sz w:val="20"/>
          <w:szCs w:val="16"/>
        </w:rPr>
        <w:softHyphen/>
        <w:t>меда б. Насира ад-Даула, обнаруженные А.А. Спицыным при раскопках камских могильников близ Чердыни в Пермской губернии, показывают, что власть Симджурида распространялась на весь восточный Хорасан в начале последнего десятилетия Х в. Дирхемы отчеканены в Нисубаре в 381 (991 г.) и 38* г. и не были еще изданы, – сообщает А.К. Марков (1910, № 20, с.138). Еще одна монета симджурида Абу Али известна по одному из померанских кладов – чекан Мерва  38* г.х. (Там же. – С. 126. № 29).</w:t>
      </w:r>
    </w:p>
    <w:p w14:paraId="1AA80FD1" w14:textId="77777777" w:rsidR="00CD484C" w:rsidRDefault="00CD484C">
      <w:pPr>
        <w:ind w:firstLine="397"/>
        <w:jc w:val="both"/>
        <w:rPr>
          <w:sz w:val="20"/>
          <w:szCs w:val="16"/>
        </w:rPr>
      </w:pPr>
      <w:r>
        <w:rPr>
          <w:sz w:val="20"/>
          <w:szCs w:val="16"/>
        </w:rPr>
        <w:t>Сравнивая распределение клада из Чистополья по династийному составу, нетрудно заметить о превалировании чекана Буидов в сравнении с чеканом Симджуридов, тут же заметим, что по этим же данным Зияриды, которых Фахр ад-Даула постепенно вытеснил из исконных дайлеметских областей, утратили контроль над каспийско-волжской торговлей. В двух младших ХГ Чистопольского клада соотношение монет бувейхидской и симджуридской эмиссий составляет 40 к 7, что свидетельствует об интенсивности торговых связей с Севером.</w:t>
      </w:r>
    </w:p>
    <w:p w14:paraId="3C73728F" w14:textId="77777777" w:rsidR="00CD484C" w:rsidRDefault="00CD484C">
      <w:pPr>
        <w:ind w:firstLine="397"/>
        <w:jc w:val="both"/>
        <w:rPr>
          <w:sz w:val="20"/>
          <w:szCs w:val="16"/>
        </w:rPr>
      </w:pPr>
      <w:r>
        <w:rPr>
          <w:sz w:val="20"/>
          <w:szCs w:val="16"/>
        </w:rPr>
        <w:t xml:space="preserve">С.А. Янина (1962б. – С. 193–196) и А.Г. Мухамадиев (1990. – С. 144, 147). показали, что монетные эмиссии двух конкурирующих монетных дворов Волжской Булгарии – Булгара и Сувара прекращаются практически одновременно – в 977 и 976 гг. соответственно. Полное отсутствие монет в Чистопольском кладе местной чеканки свидетельствует об их вымывании монетным потоком, с которым последние  уходили, как показал Г.А. Фёдоров-Давыдов, во второй половине Х в. на Северо-Запад (Фёдоров-Давыдов Г.А., 1988. – С. 45) и, сказанное не оставляет сомнений в том, что «саманидская» составляющая клада «захватив» с собой с «отсталые» монеты </w:t>
      </w:r>
      <w:r>
        <w:rPr>
          <w:sz w:val="20"/>
          <w:szCs w:val="16"/>
        </w:rPr>
        <w:lastRenderedPageBreak/>
        <w:t xml:space="preserve">маверанахрской чеканки «очистила» денежное обращение Хорасана – Маверанахра от монет «первого призыва» /В.Л. Янин/. </w:t>
      </w:r>
    </w:p>
    <w:p w14:paraId="33FEA32E" w14:textId="77777777" w:rsidR="00CD484C" w:rsidRDefault="00CD484C">
      <w:pPr>
        <w:ind w:firstLine="397"/>
        <w:jc w:val="both"/>
        <w:rPr>
          <w:sz w:val="20"/>
          <w:szCs w:val="16"/>
        </w:rPr>
      </w:pPr>
      <w:r>
        <w:rPr>
          <w:sz w:val="20"/>
          <w:szCs w:val="16"/>
        </w:rPr>
        <w:t>В этой связи роль хорасанской монеты, эмитированной в Мерве в 992 г. в «восточной» части клада резко возрастает. Вывод отечественной нумизматики по поводу эмиссий волжских булгар позволяет поставить вопрос о времени нахождении в составе местного денежного обращения дирхемов Сувара и Булгара</w:t>
      </w:r>
      <w:r>
        <w:rPr>
          <w:rStyle w:val="a6"/>
          <w:sz w:val="20"/>
          <w:szCs w:val="16"/>
        </w:rPr>
        <w:footnoteReference w:customMarkFollows="1" w:id="83"/>
        <w:t>7</w:t>
      </w:r>
      <w:r>
        <w:rPr>
          <w:sz w:val="20"/>
          <w:szCs w:val="16"/>
        </w:rPr>
        <w:t>.</w:t>
      </w:r>
    </w:p>
    <w:p w14:paraId="4AC6DD46" w14:textId="77777777" w:rsidR="00CD484C" w:rsidRDefault="00CD484C">
      <w:pPr>
        <w:pStyle w:val="a7"/>
        <w:ind w:firstLine="397"/>
        <w:rPr>
          <w:spacing w:val="-2"/>
          <w:sz w:val="20"/>
          <w:szCs w:val="16"/>
          <w:lang w:val="ru-RU"/>
        </w:rPr>
      </w:pPr>
      <w:r>
        <w:rPr>
          <w:spacing w:val="-2"/>
          <w:sz w:val="20"/>
          <w:szCs w:val="16"/>
          <w:lang w:val="ru-RU"/>
        </w:rPr>
        <w:t>Волжская Булгария была основным транзитным центром восточного серебра и наиболее поздний клад с «куфическими» монетами, найденный на западной границе исторической территории Волжской Булгарии в д. Крещенный (Красный) баран с датой младшей монеты 1008/9 (Марков А.К., 1908; Пахомов Е.А., 1957. – С. 96–97. № 1878; Янин В.Л., 1956. – С. 131; № 44), показывающий (в сравнении с материалами Чистопольского клада), что в начале XI в. изменение династийного состава клада не повлияло на денежное обращение населения Вятско-Камского ареала, а было вызвано лишь политическим причинами, происходящими в связи с процессами феодальной децентрализации на Среднем Востоке и Центральной Азии в начале X1 в. Данный клад, приблизительное зарытие которого могло произойти по мнению В.Л. Янина в 1015 г. (Янин В.Л., 1956. – С. 153, табл.), демонстрирует завершение функционирования финансовой системы Волжской Булгарии на основе восточного дирхема  /Табл. 2/.</w:t>
      </w:r>
    </w:p>
    <w:p w14:paraId="4A239DCC" w14:textId="77777777" w:rsidR="00CD484C" w:rsidRDefault="00CD484C">
      <w:pPr>
        <w:ind w:firstLine="397"/>
        <w:jc w:val="both"/>
        <w:rPr>
          <w:spacing w:val="-2"/>
          <w:sz w:val="20"/>
          <w:szCs w:val="16"/>
        </w:rPr>
      </w:pPr>
      <w:r>
        <w:rPr>
          <w:spacing w:val="-2"/>
          <w:sz w:val="20"/>
          <w:szCs w:val="16"/>
        </w:rPr>
        <w:t xml:space="preserve">Учитывая, что младшая монета (8 экз.), датируемая 399 г.х. определена как мамунидская, можно сделать предположение о том, что чекан её мог быть в Гургандже, Фераве или Нисе/Мерве, т.к. по данным рассматриваемого клада граница владений  династии Мамунидов распространялась от Хорезма (Гурганджа) на севере, Фераве на Юго-Западе и Мерва на Востоке. </w:t>
      </w:r>
    </w:p>
    <w:p w14:paraId="53696D01" w14:textId="7051E8B2" w:rsidR="00CD484C" w:rsidRDefault="00CD484C">
      <w:pPr>
        <w:ind w:firstLine="397"/>
        <w:jc w:val="both"/>
        <w:rPr>
          <w:sz w:val="20"/>
          <w:szCs w:val="16"/>
        </w:rPr>
      </w:pPr>
      <w:r>
        <w:rPr>
          <w:sz w:val="20"/>
          <w:szCs w:val="16"/>
        </w:rPr>
        <w:t xml:space="preserve">Три монеты помещены Марковым между описаниями  дирхемов Феравы и Нисы, что позволило нам отнести предположительно к  эмиссии Феравы, а оставшимся 5 – к Мерву, ввиду того, что монета названного города, эмитированная в 382/992 г. присутствует в Чистопольском кладе, и, как предполагалась, в числе неопределяемых монет данного клада могли быть монеты Мерва, Нисы – Феравы, тем более, что монеты табаристанских городов Амуля и Джурджана – представляют собой самостоятельную хронолого-географическую группу в обоих кладах. Однако, если рассмотреть процентное соотношение монет последнего десятилетия клада, несомненно отражающего состав денежного обращения Гургана и Сев.Хорасана, можно сделать заключение, согласно которому монеты Джурджана могли пройти через Дахистан – Хорезм (Гургандж), захватив </w:t>
      </w:r>
      <w:r w:rsidR="00395416">
        <w:rPr>
          <w:noProof/>
          <w:sz w:val="20"/>
          <w:szCs w:val="16"/>
        </w:rPr>
        <mc:AlternateContent>
          <mc:Choice Requires="wps">
            <w:drawing>
              <wp:anchor distT="0" distB="0" distL="114300" distR="114300" simplePos="0" relativeHeight="251673088" behindDoc="0" locked="1" layoutInCell="1" allowOverlap="1" wp14:anchorId="6E8F0F89" wp14:editId="51E243DA">
                <wp:simplePos x="0" y="0"/>
                <wp:positionH relativeFrom="column">
                  <wp:posOffset>0</wp:posOffset>
                </wp:positionH>
                <wp:positionV relativeFrom="paragraph">
                  <wp:posOffset>-252730</wp:posOffset>
                </wp:positionV>
                <wp:extent cx="4095750" cy="186690"/>
                <wp:effectExtent l="0" t="1905" r="3810" b="1905"/>
                <wp:wrapNone/>
                <wp:docPr id="439737978"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64E27"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01410923"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F0F89" id="Text Box 235" o:spid="_x0000_s1078" type="#_x0000_t202" style="position:absolute;left:0;text-align:left;margin-left:0;margin-top:-19.9pt;width:322.5pt;height:14.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XPkmw7wEAAMIDAAAOAAAAAAAAAAAAAAAAAC4CAABkcnMvZTJv&#10;RG9jLnhtbFBLAQItABQABgAIAAAAIQCnTgMH3gAAAAgBAAAPAAAAAAAAAAAAAAAAAEkEAABkcnMv&#10;ZG93bnJldi54bWxQSwUGAAAAAAQABADzAAAAVAUAAAAA&#10;" stroked="f">
                <v:textbox inset="0,0,0,0">
                  <w:txbxContent>
                    <w:p w14:paraId="60964E27"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01410923" w14:textId="77777777" w:rsidR="00AE2133" w:rsidRDefault="00AE2133">
                      <w:pPr>
                        <w:rPr>
                          <w:b/>
                          <w:bCs/>
                          <w:sz w:val="2"/>
                          <w:u w:val="single"/>
                        </w:rPr>
                      </w:pPr>
                    </w:p>
                  </w:txbxContent>
                </v:textbox>
                <w10:anchorlock/>
              </v:shape>
            </w:pict>
          </mc:Fallback>
        </mc:AlternateContent>
      </w:r>
      <w:r>
        <w:rPr>
          <w:sz w:val="20"/>
          <w:szCs w:val="16"/>
        </w:rPr>
        <w:t xml:space="preserve">по пути </w:t>
      </w:r>
      <w:r>
        <w:rPr>
          <w:sz w:val="20"/>
          <w:szCs w:val="16"/>
        </w:rPr>
        <w:lastRenderedPageBreak/>
        <w:t>монеты Феравы, в то время как монеты Нисы и Мерва, как и монеты первых Караханидов, поступали в Хорезм самостоятельно</w:t>
      </w:r>
      <w:r>
        <w:rPr>
          <w:rStyle w:val="a6"/>
          <w:sz w:val="20"/>
          <w:szCs w:val="16"/>
        </w:rPr>
        <w:footnoteReference w:customMarkFollows="1" w:id="84"/>
        <w:t>8</w:t>
      </w:r>
      <w:r>
        <w:rPr>
          <w:sz w:val="20"/>
          <w:szCs w:val="16"/>
        </w:rPr>
        <w:t>.</w:t>
      </w:r>
    </w:p>
    <w:p w14:paraId="0E87ADA9" w14:textId="77777777" w:rsidR="00CD484C" w:rsidRDefault="00CD484C">
      <w:pPr>
        <w:pStyle w:val="a7"/>
        <w:ind w:firstLine="397"/>
        <w:rPr>
          <w:sz w:val="20"/>
          <w:szCs w:val="16"/>
          <w:lang w:val="ru-RU"/>
        </w:rPr>
      </w:pPr>
    </w:p>
    <w:p w14:paraId="061DEE43" w14:textId="77777777" w:rsidR="00CD484C" w:rsidRDefault="00CD484C">
      <w:pPr>
        <w:pStyle w:val="a7"/>
        <w:ind w:firstLine="397"/>
        <w:jc w:val="right"/>
        <w:rPr>
          <w:i/>
          <w:iCs/>
          <w:sz w:val="20"/>
          <w:szCs w:val="16"/>
          <w:lang w:val="ru-RU"/>
        </w:rPr>
      </w:pPr>
      <w:r>
        <w:rPr>
          <w:i/>
          <w:iCs/>
          <w:sz w:val="20"/>
          <w:szCs w:val="16"/>
          <w:lang w:val="ru-RU"/>
        </w:rPr>
        <w:t xml:space="preserve"> Таблица 2 </w:t>
      </w:r>
    </w:p>
    <w:p w14:paraId="454A26DA" w14:textId="77777777" w:rsidR="00CD484C" w:rsidRDefault="00CD484C">
      <w:pPr>
        <w:pStyle w:val="a7"/>
        <w:spacing w:after="120"/>
        <w:ind w:firstLine="0"/>
        <w:jc w:val="center"/>
        <w:rPr>
          <w:b/>
          <w:bCs/>
          <w:sz w:val="20"/>
          <w:szCs w:val="16"/>
          <w:lang w:val="ru-RU"/>
        </w:rPr>
      </w:pPr>
      <w:r>
        <w:rPr>
          <w:b/>
          <w:bCs/>
          <w:sz w:val="20"/>
          <w:szCs w:val="16"/>
          <w:lang w:val="ru-RU"/>
        </w:rPr>
        <w:t>Эмиссионное распределение клада Крещенный (Красный) баран</w:t>
      </w:r>
      <w:r>
        <w:rPr>
          <w:rStyle w:val="a6"/>
          <w:b/>
          <w:bCs/>
          <w:sz w:val="20"/>
          <w:szCs w:val="16"/>
          <w:lang w:val="ru-RU"/>
        </w:rPr>
        <w:footnoteReference w:customMarkFollows="1" w:id="85"/>
        <w:t>9</w:t>
      </w:r>
    </w:p>
    <w:tbl>
      <w:tblPr>
        <w:tblW w:w="4845" w:type="pct"/>
        <w:jc w:val="center"/>
        <w:tblCellMar>
          <w:left w:w="30" w:type="dxa"/>
          <w:right w:w="30" w:type="dxa"/>
        </w:tblCellMar>
        <w:tblLook w:val="00A0" w:firstRow="1" w:lastRow="0" w:firstColumn="1" w:lastColumn="0" w:noHBand="0" w:noVBand="0"/>
      </w:tblPr>
      <w:tblGrid>
        <w:gridCol w:w="1572"/>
        <w:gridCol w:w="812"/>
        <w:gridCol w:w="653"/>
        <w:gridCol w:w="855"/>
        <w:gridCol w:w="658"/>
        <w:gridCol w:w="787"/>
        <w:gridCol w:w="27"/>
        <w:gridCol w:w="829"/>
      </w:tblGrid>
      <w:tr w:rsidR="00CD484C" w14:paraId="7FE8083E" w14:textId="77777777">
        <w:trPr>
          <w:trHeight w:val="260"/>
          <w:jc w:val="center"/>
        </w:trPr>
        <w:tc>
          <w:tcPr>
            <w:tcW w:w="1270" w:type="pct"/>
            <w:tcBorders>
              <w:top w:val="single" w:sz="12" w:space="0" w:color="808080"/>
              <w:left w:val="single" w:sz="6" w:space="0" w:color="808080"/>
              <w:bottom w:val="single" w:sz="12" w:space="0" w:color="808080"/>
            </w:tcBorders>
            <w:shd w:val="pct30" w:color="000000" w:fill="FFFFFF"/>
          </w:tcPr>
          <w:p w14:paraId="48C160F9" w14:textId="77777777" w:rsidR="00CD484C" w:rsidRDefault="00CD484C">
            <w:pPr>
              <w:ind w:firstLine="397"/>
              <w:jc w:val="both"/>
              <w:rPr>
                <w:b/>
                <w:sz w:val="18"/>
                <w:szCs w:val="16"/>
              </w:rPr>
            </w:pPr>
          </w:p>
        </w:tc>
        <w:tc>
          <w:tcPr>
            <w:tcW w:w="656" w:type="pct"/>
            <w:tcBorders>
              <w:top w:val="single" w:sz="12" w:space="0" w:color="808080"/>
              <w:bottom w:val="single" w:sz="12" w:space="0" w:color="808080"/>
            </w:tcBorders>
            <w:shd w:val="pct30" w:color="000000" w:fill="FFFFFF"/>
          </w:tcPr>
          <w:p w14:paraId="3DB1F9E3" w14:textId="77777777" w:rsidR="00CD484C" w:rsidRDefault="00CD484C">
            <w:pPr>
              <w:jc w:val="center"/>
              <w:rPr>
                <w:b/>
                <w:sz w:val="18"/>
                <w:szCs w:val="16"/>
              </w:rPr>
            </w:pPr>
            <w:r>
              <w:rPr>
                <w:b/>
                <w:sz w:val="18"/>
                <w:szCs w:val="16"/>
              </w:rPr>
              <w:t>959</w:t>
            </w:r>
          </w:p>
        </w:tc>
        <w:tc>
          <w:tcPr>
            <w:tcW w:w="527" w:type="pct"/>
            <w:tcBorders>
              <w:top w:val="single" w:sz="12" w:space="0" w:color="808080"/>
              <w:bottom w:val="single" w:sz="12" w:space="0" w:color="808080"/>
            </w:tcBorders>
            <w:shd w:val="pct30" w:color="000000" w:fill="FFFFFF"/>
          </w:tcPr>
          <w:p w14:paraId="6FCC539A" w14:textId="77777777" w:rsidR="00CD484C" w:rsidRDefault="00CD484C">
            <w:pPr>
              <w:jc w:val="center"/>
              <w:rPr>
                <w:b/>
                <w:sz w:val="18"/>
                <w:szCs w:val="16"/>
              </w:rPr>
            </w:pPr>
            <w:r>
              <w:rPr>
                <w:b/>
                <w:sz w:val="18"/>
                <w:szCs w:val="16"/>
              </w:rPr>
              <w:t>969</w:t>
            </w:r>
          </w:p>
        </w:tc>
        <w:tc>
          <w:tcPr>
            <w:tcW w:w="690" w:type="pct"/>
            <w:tcBorders>
              <w:top w:val="single" w:sz="12" w:space="0" w:color="808080"/>
              <w:bottom w:val="single" w:sz="12" w:space="0" w:color="808080"/>
            </w:tcBorders>
            <w:shd w:val="pct30" w:color="000000" w:fill="FFFFFF"/>
          </w:tcPr>
          <w:p w14:paraId="0CB0287E" w14:textId="77777777" w:rsidR="00CD484C" w:rsidRDefault="00CD484C">
            <w:pPr>
              <w:ind w:firstLine="30"/>
              <w:jc w:val="center"/>
              <w:rPr>
                <w:b/>
                <w:sz w:val="18"/>
                <w:szCs w:val="16"/>
              </w:rPr>
            </w:pPr>
            <w:r>
              <w:rPr>
                <w:b/>
                <w:sz w:val="18"/>
                <w:szCs w:val="16"/>
              </w:rPr>
              <w:t>979</w:t>
            </w:r>
          </w:p>
        </w:tc>
        <w:tc>
          <w:tcPr>
            <w:tcW w:w="531" w:type="pct"/>
            <w:tcBorders>
              <w:top w:val="single" w:sz="12" w:space="0" w:color="808080"/>
              <w:bottom w:val="single" w:sz="12" w:space="0" w:color="808080"/>
            </w:tcBorders>
            <w:shd w:val="pct30" w:color="000000" w:fill="FFFFFF"/>
          </w:tcPr>
          <w:p w14:paraId="5D0E32D4" w14:textId="77777777" w:rsidR="00CD484C" w:rsidRDefault="00CD484C">
            <w:pPr>
              <w:jc w:val="center"/>
              <w:rPr>
                <w:b/>
                <w:sz w:val="18"/>
                <w:szCs w:val="16"/>
              </w:rPr>
            </w:pPr>
            <w:r>
              <w:rPr>
                <w:b/>
                <w:sz w:val="18"/>
                <w:szCs w:val="16"/>
              </w:rPr>
              <w:t>989</w:t>
            </w:r>
          </w:p>
        </w:tc>
        <w:tc>
          <w:tcPr>
            <w:tcW w:w="635" w:type="pct"/>
            <w:tcBorders>
              <w:top w:val="single" w:sz="12" w:space="0" w:color="808080"/>
              <w:bottom w:val="single" w:sz="12" w:space="0" w:color="808080"/>
            </w:tcBorders>
            <w:shd w:val="pct30" w:color="000000" w:fill="FFFFFF"/>
          </w:tcPr>
          <w:p w14:paraId="04C0CCAE" w14:textId="77777777" w:rsidR="00CD484C" w:rsidRDefault="00CD484C">
            <w:pPr>
              <w:jc w:val="center"/>
              <w:rPr>
                <w:b/>
                <w:sz w:val="18"/>
                <w:szCs w:val="16"/>
              </w:rPr>
            </w:pPr>
            <w:r>
              <w:rPr>
                <w:b/>
                <w:sz w:val="18"/>
                <w:szCs w:val="16"/>
              </w:rPr>
              <w:t>999</w:t>
            </w:r>
          </w:p>
        </w:tc>
        <w:tc>
          <w:tcPr>
            <w:tcW w:w="691" w:type="pct"/>
            <w:gridSpan w:val="2"/>
            <w:tcBorders>
              <w:top w:val="single" w:sz="12" w:space="0" w:color="808080"/>
              <w:bottom w:val="single" w:sz="12" w:space="0" w:color="808080"/>
              <w:right w:val="single" w:sz="6" w:space="0" w:color="808080"/>
            </w:tcBorders>
            <w:shd w:val="pct30" w:color="000000" w:fill="FFFFFF"/>
          </w:tcPr>
          <w:p w14:paraId="7378E4A2" w14:textId="77777777" w:rsidR="00CD484C" w:rsidRDefault="00CD484C">
            <w:pPr>
              <w:jc w:val="center"/>
              <w:rPr>
                <w:b/>
                <w:sz w:val="18"/>
                <w:szCs w:val="16"/>
              </w:rPr>
            </w:pPr>
            <w:r>
              <w:rPr>
                <w:b/>
                <w:sz w:val="18"/>
                <w:szCs w:val="16"/>
              </w:rPr>
              <w:t>1009</w:t>
            </w:r>
          </w:p>
        </w:tc>
      </w:tr>
      <w:tr w:rsidR="00CD484C" w14:paraId="74F6B7DD" w14:textId="77777777">
        <w:trPr>
          <w:trHeight w:val="260"/>
          <w:jc w:val="center"/>
        </w:trPr>
        <w:tc>
          <w:tcPr>
            <w:tcW w:w="1270" w:type="pct"/>
            <w:tcBorders>
              <w:left w:val="single" w:sz="6" w:space="0" w:color="808080"/>
              <w:bottom w:val="single" w:sz="6" w:space="0" w:color="000000"/>
            </w:tcBorders>
            <w:shd w:val="pct20" w:color="000000" w:fill="FFFFFF"/>
          </w:tcPr>
          <w:p w14:paraId="03913A39" w14:textId="77777777" w:rsidR="00CD484C" w:rsidRDefault="00CD484C">
            <w:pPr>
              <w:jc w:val="both"/>
              <w:rPr>
                <w:b/>
                <w:sz w:val="18"/>
                <w:szCs w:val="16"/>
              </w:rPr>
            </w:pPr>
            <w:r>
              <w:rPr>
                <w:b/>
                <w:sz w:val="18"/>
                <w:szCs w:val="16"/>
              </w:rPr>
              <w:t>Джурджан</w:t>
            </w:r>
          </w:p>
        </w:tc>
        <w:tc>
          <w:tcPr>
            <w:tcW w:w="656" w:type="pct"/>
            <w:tcBorders>
              <w:bottom w:val="single" w:sz="6" w:space="0" w:color="000000"/>
            </w:tcBorders>
            <w:shd w:val="pct20" w:color="000000" w:fill="FFFFFF"/>
          </w:tcPr>
          <w:p w14:paraId="75734E62" w14:textId="77777777" w:rsidR="00CD484C" w:rsidRDefault="00CD484C">
            <w:pPr>
              <w:jc w:val="center"/>
              <w:rPr>
                <w:sz w:val="18"/>
                <w:szCs w:val="16"/>
              </w:rPr>
            </w:pPr>
          </w:p>
        </w:tc>
        <w:tc>
          <w:tcPr>
            <w:tcW w:w="527" w:type="pct"/>
            <w:tcBorders>
              <w:bottom w:val="single" w:sz="6" w:space="0" w:color="000000"/>
            </w:tcBorders>
            <w:shd w:val="pct20" w:color="000000" w:fill="FFFFFF"/>
          </w:tcPr>
          <w:p w14:paraId="6392EFD9" w14:textId="77777777" w:rsidR="00CD484C" w:rsidRDefault="00CD484C">
            <w:pPr>
              <w:jc w:val="center"/>
              <w:rPr>
                <w:sz w:val="18"/>
                <w:szCs w:val="16"/>
              </w:rPr>
            </w:pPr>
          </w:p>
        </w:tc>
        <w:tc>
          <w:tcPr>
            <w:tcW w:w="690" w:type="pct"/>
            <w:tcBorders>
              <w:bottom w:val="single" w:sz="6" w:space="0" w:color="000000"/>
            </w:tcBorders>
            <w:shd w:val="pct20" w:color="000000" w:fill="FFFFFF"/>
          </w:tcPr>
          <w:p w14:paraId="1708478E" w14:textId="77777777" w:rsidR="00CD484C" w:rsidRDefault="00CD484C">
            <w:pPr>
              <w:ind w:firstLine="30"/>
              <w:jc w:val="center"/>
              <w:rPr>
                <w:sz w:val="18"/>
                <w:szCs w:val="16"/>
              </w:rPr>
            </w:pPr>
          </w:p>
        </w:tc>
        <w:tc>
          <w:tcPr>
            <w:tcW w:w="531" w:type="pct"/>
            <w:tcBorders>
              <w:bottom w:val="single" w:sz="6" w:space="0" w:color="000000"/>
            </w:tcBorders>
            <w:shd w:val="pct20" w:color="000000" w:fill="FFFFFF"/>
          </w:tcPr>
          <w:p w14:paraId="33ADBF65" w14:textId="77777777" w:rsidR="00CD484C" w:rsidRDefault="00CD484C">
            <w:pPr>
              <w:jc w:val="center"/>
              <w:rPr>
                <w:sz w:val="18"/>
                <w:szCs w:val="16"/>
              </w:rPr>
            </w:pPr>
          </w:p>
        </w:tc>
        <w:tc>
          <w:tcPr>
            <w:tcW w:w="635" w:type="pct"/>
            <w:tcBorders>
              <w:bottom w:val="single" w:sz="6" w:space="0" w:color="000000"/>
            </w:tcBorders>
            <w:shd w:val="pct20" w:color="000000" w:fill="FFFFFF"/>
          </w:tcPr>
          <w:p w14:paraId="2B9450FF" w14:textId="77777777" w:rsidR="00CD484C" w:rsidRDefault="00CD484C">
            <w:pPr>
              <w:jc w:val="center"/>
              <w:rPr>
                <w:sz w:val="18"/>
                <w:szCs w:val="16"/>
              </w:rPr>
            </w:pPr>
            <w:r>
              <w:rPr>
                <w:sz w:val="18"/>
                <w:szCs w:val="16"/>
              </w:rPr>
              <w:t>2/2,56</w:t>
            </w:r>
          </w:p>
        </w:tc>
        <w:tc>
          <w:tcPr>
            <w:tcW w:w="691" w:type="pct"/>
            <w:gridSpan w:val="2"/>
            <w:tcBorders>
              <w:bottom w:val="single" w:sz="6" w:space="0" w:color="000000"/>
              <w:right w:val="single" w:sz="6" w:space="0" w:color="808080"/>
            </w:tcBorders>
            <w:shd w:val="pct20" w:color="000000" w:fill="FFFFFF"/>
          </w:tcPr>
          <w:p w14:paraId="73F40F2A" w14:textId="77777777" w:rsidR="00CD484C" w:rsidRDefault="00CD484C">
            <w:pPr>
              <w:jc w:val="center"/>
              <w:rPr>
                <w:sz w:val="18"/>
                <w:szCs w:val="16"/>
              </w:rPr>
            </w:pPr>
          </w:p>
        </w:tc>
      </w:tr>
      <w:tr w:rsidR="00CD484C" w14:paraId="15278B82" w14:textId="77777777">
        <w:trPr>
          <w:trHeight w:val="260"/>
          <w:jc w:val="center"/>
        </w:trPr>
        <w:tc>
          <w:tcPr>
            <w:tcW w:w="1270" w:type="pct"/>
            <w:tcBorders>
              <w:top w:val="single" w:sz="6" w:space="0" w:color="000000"/>
              <w:left w:val="single" w:sz="6" w:space="0" w:color="808080"/>
              <w:bottom w:val="single" w:sz="6" w:space="0" w:color="000000"/>
            </w:tcBorders>
            <w:shd w:val="pct25" w:color="C0C0C0" w:fill="FFFFFF"/>
          </w:tcPr>
          <w:p w14:paraId="37F891FF" w14:textId="77777777" w:rsidR="00CD484C" w:rsidRDefault="00CD484C">
            <w:pPr>
              <w:jc w:val="both"/>
              <w:rPr>
                <w:b/>
                <w:sz w:val="18"/>
                <w:szCs w:val="16"/>
              </w:rPr>
            </w:pPr>
            <w:r>
              <w:rPr>
                <w:b/>
                <w:sz w:val="18"/>
                <w:szCs w:val="16"/>
              </w:rPr>
              <w:t>Амуль</w:t>
            </w:r>
          </w:p>
        </w:tc>
        <w:tc>
          <w:tcPr>
            <w:tcW w:w="656" w:type="pct"/>
            <w:tcBorders>
              <w:top w:val="single" w:sz="6" w:space="0" w:color="000000"/>
              <w:bottom w:val="single" w:sz="6" w:space="0" w:color="000000"/>
            </w:tcBorders>
            <w:shd w:val="pct25" w:color="C0C0C0" w:fill="FFFFFF"/>
          </w:tcPr>
          <w:p w14:paraId="5605AF17" w14:textId="77777777" w:rsidR="00CD484C" w:rsidRDefault="00CD484C">
            <w:pPr>
              <w:jc w:val="center"/>
              <w:rPr>
                <w:sz w:val="18"/>
                <w:szCs w:val="16"/>
              </w:rPr>
            </w:pPr>
            <w:r>
              <w:rPr>
                <w:sz w:val="18"/>
                <w:szCs w:val="16"/>
              </w:rPr>
              <w:t>1/1,28</w:t>
            </w:r>
          </w:p>
        </w:tc>
        <w:tc>
          <w:tcPr>
            <w:tcW w:w="527" w:type="pct"/>
            <w:tcBorders>
              <w:top w:val="single" w:sz="6" w:space="0" w:color="000000"/>
              <w:bottom w:val="single" w:sz="6" w:space="0" w:color="000000"/>
            </w:tcBorders>
            <w:shd w:val="pct25" w:color="C0C0C0" w:fill="FFFFFF"/>
          </w:tcPr>
          <w:p w14:paraId="331ADBD3" w14:textId="77777777" w:rsidR="00CD484C" w:rsidRDefault="00CD484C">
            <w:pPr>
              <w:jc w:val="center"/>
              <w:rPr>
                <w:sz w:val="18"/>
                <w:szCs w:val="16"/>
              </w:rPr>
            </w:pPr>
          </w:p>
        </w:tc>
        <w:tc>
          <w:tcPr>
            <w:tcW w:w="690" w:type="pct"/>
            <w:tcBorders>
              <w:top w:val="single" w:sz="6" w:space="0" w:color="000000"/>
              <w:bottom w:val="single" w:sz="6" w:space="0" w:color="000000"/>
            </w:tcBorders>
            <w:shd w:val="pct25" w:color="C0C0C0" w:fill="FFFFFF"/>
          </w:tcPr>
          <w:p w14:paraId="286FF8A8" w14:textId="77777777" w:rsidR="00CD484C" w:rsidRDefault="00CD484C">
            <w:pPr>
              <w:ind w:firstLine="30"/>
              <w:jc w:val="center"/>
              <w:rPr>
                <w:sz w:val="18"/>
                <w:szCs w:val="16"/>
              </w:rPr>
            </w:pPr>
          </w:p>
        </w:tc>
        <w:tc>
          <w:tcPr>
            <w:tcW w:w="531" w:type="pct"/>
            <w:tcBorders>
              <w:top w:val="single" w:sz="6" w:space="0" w:color="000000"/>
              <w:bottom w:val="single" w:sz="6" w:space="0" w:color="000000"/>
            </w:tcBorders>
            <w:shd w:val="pct25" w:color="C0C0C0" w:fill="FFFFFF"/>
          </w:tcPr>
          <w:p w14:paraId="6AA3180D" w14:textId="77777777" w:rsidR="00CD484C" w:rsidRDefault="00CD484C">
            <w:pPr>
              <w:jc w:val="center"/>
              <w:rPr>
                <w:sz w:val="18"/>
                <w:szCs w:val="16"/>
              </w:rPr>
            </w:pPr>
          </w:p>
        </w:tc>
        <w:tc>
          <w:tcPr>
            <w:tcW w:w="635" w:type="pct"/>
            <w:tcBorders>
              <w:top w:val="single" w:sz="6" w:space="0" w:color="000000"/>
              <w:bottom w:val="single" w:sz="6" w:space="0" w:color="000000"/>
            </w:tcBorders>
            <w:shd w:val="pct25" w:color="C0C0C0" w:fill="FFFFFF"/>
          </w:tcPr>
          <w:p w14:paraId="0DDE8E75" w14:textId="77777777" w:rsidR="00CD484C" w:rsidRDefault="00CD484C">
            <w:pPr>
              <w:jc w:val="center"/>
              <w:rPr>
                <w:sz w:val="18"/>
                <w:szCs w:val="16"/>
              </w:rPr>
            </w:pPr>
            <w:r>
              <w:rPr>
                <w:sz w:val="18"/>
                <w:szCs w:val="16"/>
              </w:rPr>
              <w:t>2/2,56</w:t>
            </w:r>
          </w:p>
        </w:tc>
        <w:tc>
          <w:tcPr>
            <w:tcW w:w="691" w:type="pct"/>
            <w:gridSpan w:val="2"/>
            <w:tcBorders>
              <w:top w:val="single" w:sz="6" w:space="0" w:color="000000"/>
              <w:bottom w:val="single" w:sz="6" w:space="0" w:color="000000"/>
              <w:right w:val="single" w:sz="6" w:space="0" w:color="808080"/>
            </w:tcBorders>
            <w:shd w:val="pct25" w:color="C0C0C0" w:fill="FFFFFF"/>
          </w:tcPr>
          <w:p w14:paraId="2E0BC8EA" w14:textId="77777777" w:rsidR="00CD484C" w:rsidRDefault="00CD484C">
            <w:pPr>
              <w:jc w:val="center"/>
              <w:rPr>
                <w:sz w:val="18"/>
                <w:szCs w:val="16"/>
              </w:rPr>
            </w:pPr>
          </w:p>
        </w:tc>
      </w:tr>
      <w:tr w:rsidR="00CD484C" w14:paraId="20B63EDD" w14:textId="77777777">
        <w:trPr>
          <w:trHeight w:val="260"/>
          <w:jc w:val="center"/>
        </w:trPr>
        <w:tc>
          <w:tcPr>
            <w:tcW w:w="1270" w:type="pct"/>
            <w:tcBorders>
              <w:top w:val="single" w:sz="6" w:space="0" w:color="000000"/>
              <w:left w:val="single" w:sz="6" w:space="0" w:color="808080"/>
              <w:bottom w:val="single" w:sz="6" w:space="0" w:color="000000"/>
            </w:tcBorders>
            <w:shd w:val="pct20" w:color="000000" w:fill="FFFFFF"/>
          </w:tcPr>
          <w:p w14:paraId="291FAD2E" w14:textId="77777777" w:rsidR="00CD484C" w:rsidRDefault="00CD484C">
            <w:pPr>
              <w:jc w:val="both"/>
              <w:rPr>
                <w:b/>
                <w:sz w:val="18"/>
                <w:szCs w:val="16"/>
              </w:rPr>
            </w:pPr>
            <w:r>
              <w:rPr>
                <w:b/>
                <w:sz w:val="18"/>
                <w:szCs w:val="16"/>
              </w:rPr>
              <w:t>Мухамедия</w:t>
            </w:r>
          </w:p>
        </w:tc>
        <w:tc>
          <w:tcPr>
            <w:tcW w:w="656" w:type="pct"/>
            <w:tcBorders>
              <w:top w:val="single" w:sz="6" w:space="0" w:color="000000"/>
              <w:bottom w:val="single" w:sz="6" w:space="0" w:color="000000"/>
            </w:tcBorders>
            <w:shd w:val="pct20" w:color="000000" w:fill="FFFFFF"/>
          </w:tcPr>
          <w:p w14:paraId="3F4384F8" w14:textId="77777777" w:rsidR="00CD484C" w:rsidRDefault="00CD484C">
            <w:pPr>
              <w:jc w:val="center"/>
              <w:rPr>
                <w:sz w:val="18"/>
                <w:szCs w:val="16"/>
              </w:rPr>
            </w:pPr>
          </w:p>
        </w:tc>
        <w:tc>
          <w:tcPr>
            <w:tcW w:w="527" w:type="pct"/>
            <w:tcBorders>
              <w:top w:val="single" w:sz="6" w:space="0" w:color="000000"/>
              <w:bottom w:val="single" w:sz="6" w:space="0" w:color="000000"/>
            </w:tcBorders>
            <w:shd w:val="pct20" w:color="000000" w:fill="FFFFFF"/>
          </w:tcPr>
          <w:p w14:paraId="1C50EDF8" w14:textId="77777777" w:rsidR="00CD484C" w:rsidRDefault="00CD484C">
            <w:pPr>
              <w:jc w:val="center"/>
              <w:rPr>
                <w:sz w:val="18"/>
                <w:szCs w:val="16"/>
              </w:rPr>
            </w:pPr>
          </w:p>
        </w:tc>
        <w:tc>
          <w:tcPr>
            <w:tcW w:w="690" w:type="pct"/>
            <w:tcBorders>
              <w:top w:val="single" w:sz="6" w:space="0" w:color="000000"/>
              <w:bottom w:val="single" w:sz="6" w:space="0" w:color="000000"/>
            </w:tcBorders>
            <w:shd w:val="pct20" w:color="000000" w:fill="FFFFFF"/>
          </w:tcPr>
          <w:p w14:paraId="67C60EB2" w14:textId="77777777" w:rsidR="00CD484C" w:rsidRDefault="00CD484C">
            <w:pPr>
              <w:ind w:firstLine="30"/>
              <w:jc w:val="center"/>
              <w:rPr>
                <w:sz w:val="18"/>
                <w:szCs w:val="16"/>
              </w:rPr>
            </w:pPr>
            <w:r>
              <w:rPr>
                <w:sz w:val="18"/>
                <w:szCs w:val="16"/>
              </w:rPr>
              <w:t>3/3,84</w:t>
            </w:r>
          </w:p>
        </w:tc>
        <w:tc>
          <w:tcPr>
            <w:tcW w:w="531" w:type="pct"/>
            <w:tcBorders>
              <w:top w:val="single" w:sz="6" w:space="0" w:color="000000"/>
              <w:bottom w:val="single" w:sz="6" w:space="0" w:color="000000"/>
            </w:tcBorders>
            <w:shd w:val="pct20" w:color="000000" w:fill="FFFFFF"/>
          </w:tcPr>
          <w:p w14:paraId="342EA712" w14:textId="77777777" w:rsidR="00CD484C" w:rsidRDefault="00CD484C">
            <w:pPr>
              <w:jc w:val="center"/>
              <w:rPr>
                <w:sz w:val="18"/>
                <w:szCs w:val="16"/>
              </w:rPr>
            </w:pPr>
          </w:p>
        </w:tc>
        <w:tc>
          <w:tcPr>
            <w:tcW w:w="635" w:type="pct"/>
            <w:tcBorders>
              <w:top w:val="single" w:sz="6" w:space="0" w:color="000000"/>
              <w:bottom w:val="single" w:sz="6" w:space="0" w:color="000000"/>
            </w:tcBorders>
            <w:shd w:val="pct20" w:color="000000" w:fill="FFFFFF"/>
          </w:tcPr>
          <w:p w14:paraId="7CCC204C" w14:textId="77777777" w:rsidR="00CD484C" w:rsidRDefault="00CD484C">
            <w:pPr>
              <w:jc w:val="center"/>
              <w:rPr>
                <w:sz w:val="18"/>
                <w:szCs w:val="16"/>
              </w:rPr>
            </w:pPr>
            <w:r>
              <w:rPr>
                <w:sz w:val="18"/>
                <w:szCs w:val="16"/>
              </w:rPr>
              <w:t>3/3,84</w:t>
            </w:r>
          </w:p>
        </w:tc>
        <w:tc>
          <w:tcPr>
            <w:tcW w:w="691" w:type="pct"/>
            <w:gridSpan w:val="2"/>
            <w:tcBorders>
              <w:top w:val="single" w:sz="6" w:space="0" w:color="000000"/>
              <w:bottom w:val="single" w:sz="6" w:space="0" w:color="000000"/>
              <w:right w:val="single" w:sz="6" w:space="0" w:color="808080"/>
            </w:tcBorders>
            <w:shd w:val="pct20" w:color="000000" w:fill="FFFFFF"/>
          </w:tcPr>
          <w:p w14:paraId="3DFFFDBE" w14:textId="77777777" w:rsidR="00CD484C" w:rsidRDefault="00CD484C">
            <w:pPr>
              <w:jc w:val="center"/>
              <w:rPr>
                <w:sz w:val="18"/>
                <w:szCs w:val="16"/>
              </w:rPr>
            </w:pPr>
            <w:r>
              <w:rPr>
                <w:sz w:val="18"/>
                <w:szCs w:val="16"/>
              </w:rPr>
              <w:t>8/10,56</w:t>
            </w:r>
          </w:p>
        </w:tc>
      </w:tr>
      <w:tr w:rsidR="00CD484C" w14:paraId="2481CA54" w14:textId="77777777">
        <w:trPr>
          <w:trHeight w:val="260"/>
          <w:jc w:val="center"/>
        </w:trPr>
        <w:tc>
          <w:tcPr>
            <w:tcW w:w="1270" w:type="pct"/>
            <w:tcBorders>
              <w:top w:val="single" w:sz="6" w:space="0" w:color="000000"/>
              <w:left w:val="single" w:sz="6" w:space="0" w:color="808080"/>
              <w:bottom w:val="single" w:sz="6" w:space="0" w:color="000000"/>
            </w:tcBorders>
            <w:shd w:val="pct25" w:color="C0C0C0" w:fill="FFFFFF"/>
          </w:tcPr>
          <w:p w14:paraId="0A9659CA" w14:textId="77777777" w:rsidR="00CD484C" w:rsidRDefault="00CD484C">
            <w:pPr>
              <w:jc w:val="both"/>
              <w:rPr>
                <w:b/>
                <w:sz w:val="18"/>
                <w:szCs w:val="16"/>
              </w:rPr>
            </w:pPr>
            <w:r>
              <w:rPr>
                <w:b/>
                <w:sz w:val="18"/>
                <w:szCs w:val="16"/>
              </w:rPr>
              <w:t>Исфаган</w:t>
            </w:r>
          </w:p>
        </w:tc>
        <w:tc>
          <w:tcPr>
            <w:tcW w:w="656" w:type="pct"/>
            <w:tcBorders>
              <w:top w:val="single" w:sz="6" w:space="0" w:color="000000"/>
              <w:bottom w:val="single" w:sz="6" w:space="0" w:color="000000"/>
            </w:tcBorders>
            <w:shd w:val="pct25" w:color="C0C0C0" w:fill="FFFFFF"/>
          </w:tcPr>
          <w:p w14:paraId="44FF4205" w14:textId="77777777" w:rsidR="00CD484C" w:rsidRDefault="00CD484C">
            <w:pPr>
              <w:jc w:val="center"/>
              <w:rPr>
                <w:sz w:val="18"/>
                <w:szCs w:val="16"/>
              </w:rPr>
            </w:pPr>
          </w:p>
        </w:tc>
        <w:tc>
          <w:tcPr>
            <w:tcW w:w="527" w:type="pct"/>
            <w:tcBorders>
              <w:top w:val="single" w:sz="6" w:space="0" w:color="000000"/>
              <w:bottom w:val="single" w:sz="6" w:space="0" w:color="000000"/>
            </w:tcBorders>
            <w:shd w:val="pct25" w:color="C0C0C0" w:fill="FFFFFF"/>
          </w:tcPr>
          <w:p w14:paraId="0F949708" w14:textId="77777777" w:rsidR="00CD484C" w:rsidRDefault="00CD484C">
            <w:pPr>
              <w:jc w:val="center"/>
              <w:rPr>
                <w:sz w:val="18"/>
                <w:szCs w:val="16"/>
              </w:rPr>
            </w:pPr>
          </w:p>
        </w:tc>
        <w:tc>
          <w:tcPr>
            <w:tcW w:w="690" w:type="pct"/>
            <w:tcBorders>
              <w:top w:val="single" w:sz="6" w:space="0" w:color="000000"/>
              <w:bottom w:val="single" w:sz="6" w:space="0" w:color="000000"/>
            </w:tcBorders>
            <w:shd w:val="pct25" w:color="C0C0C0" w:fill="FFFFFF"/>
          </w:tcPr>
          <w:p w14:paraId="5272BFE2" w14:textId="77777777" w:rsidR="00CD484C" w:rsidRDefault="00CD484C">
            <w:pPr>
              <w:ind w:firstLine="30"/>
              <w:jc w:val="center"/>
              <w:rPr>
                <w:sz w:val="18"/>
                <w:szCs w:val="16"/>
              </w:rPr>
            </w:pPr>
          </w:p>
        </w:tc>
        <w:tc>
          <w:tcPr>
            <w:tcW w:w="531" w:type="pct"/>
            <w:tcBorders>
              <w:top w:val="single" w:sz="6" w:space="0" w:color="000000"/>
              <w:bottom w:val="single" w:sz="6" w:space="0" w:color="000000"/>
            </w:tcBorders>
            <w:shd w:val="pct25" w:color="C0C0C0" w:fill="FFFFFF"/>
          </w:tcPr>
          <w:p w14:paraId="173820DD" w14:textId="77777777" w:rsidR="00CD484C" w:rsidRDefault="00CD484C">
            <w:pPr>
              <w:jc w:val="center"/>
              <w:rPr>
                <w:sz w:val="18"/>
                <w:szCs w:val="16"/>
              </w:rPr>
            </w:pPr>
          </w:p>
        </w:tc>
        <w:tc>
          <w:tcPr>
            <w:tcW w:w="635" w:type="pct"/>
            <w:tcBorders>
              <w:top w:val="single" w:sz="6" w:space="0" w:color="000000"/>
              <w:bottom w:val="single" w:sz="6" w:space="0" w:color="000000"/>
            </w:tcBorders>
            <w:shd w:val="pct25" w:color="C0C0C0" w:fill="FFFFFF"/>
          </w:tcPr>
          <w:p w14:paraId="5F517701" w14:textId="77777777" w:rsidR="00CD484C" w:rsidRDefault="00CD484C">
            <w:pPr>
              <w:jc w:val="center"/>
              <w:rPr>
                <w:sz w:val="18"/>
                <w:szCs w:val="16"/>
              </w:rPr>
            </w:pPr>
            <w:r>
              <w:rPr>
                <w:sz w:val="18"/>
                <w:szCs w:val="16"/>
              </w:rPr>
              <w:t>5/6,14</w:t>
            </w:r>
          </w:p>
        </w:tc>
        <w:tc>
          <w:tcPr>
            <w:tcW w:w="691" w:type="pct"/>
            <w:gridSpan w:val="2"/>
            <w:tcBorders>
              <w:top w:val="single" w:sz="6" w:space="0" w:color="000000"/>
              <w:bottom w:val="single" w:sz="6" w:space="0" w:color="000000"/>
              <w:right w:val="single" w:sz="6" w:space="0" w:color="808080"/>
            </w:tcBorders>
            <w:shd w:val="pct25" w:color="C0C0C0" w:fill="FFFFFF"/>
          </w:tcPr>
          <w:p w14:paraId="534F4E75" w14:textId="77777777" w:rsidR="00CD484C" w:rsidRDefault="00CD484C">
            <w:pPr>
              <w:jc w:val="center"/>
              <w:rPr>
                <w:sz w:val="18"/>
                <w:szCs w:val="16"/>
              </w:rPr>
            </w:pPr>
            <w:r>
              <w:rPr>
                <w:sz w:val="18"/>
                <w:szCs w:val="16"/>
              </w:rPr>
              <w:t>5/12,28</w:t>
            </w:r>
          </w:p>
        </w:tc>
      </w:tr>
      <w:tr w:rsidR="00CD484C" w14:paraId="03299240" w14:textId="77777777">
        <w:trPr>
          <w:trHeight w:val="260"/>
          <w:jc w:val="center"/>
        </w:trPr>
        <w:tc>
          <w:tcPr>
            <w:tcW w:w="1270" w:type="pct"/>
            <w:tcBorders>
              <w:top w:val="single" w:sz="6" w:space="0" w:color="000000"/>
              <w:left w:val="single" w:sz="6" w:space="0" w:color="808080"/>
              <w:bottom w:val="single" w:sz="6" w:space="0" w:color="000000"/>
            </w:tcBorders>
            <w:shd w:val="pct20" w:color="000000" w:fill="FFFFFF"/>
          </w:tcPr>
          <w:p w14:paraId="223BBA9B" w14:textId="77777777" w:rsidR="00CD484C" w:rsidRDefault="00CD484C">
            <w:pPr>
              <w:jc w:val="both"/>
              <w:rPr>
                <w:b/>
                <w:sz w:val="18"/>
                <w:szCs w:val="16"/>
              </w:rPr>
            </w:pPr>
            <w:r>
              <w:rPr>
                <w:b/>
                <w:sz w:val="18"/>
                <w:szCs w:val="16"/>
              </w:rPr>
              <w:t>Мезейдиды</w:t>
            </w:r>
          </w:p>
        </w:tc>
        <w:tc>
          <w:tcPr>
            <w:tcW w:w="1182" w:type="pct"/>
            <w:gridSpan w:val="2"/>
            <w:tcBorders>
              <w:top w:val="single" w:sz="6" w:space="0" w:color="000000"/>
              <w:bottom w:val="single" w:sz="6" w:space="0" w:color="000000"/>
            </w:tcBorders>
            <w:shd w:val="pct20" w:color="000000" w:fill="FFFFFF"/>
          </w:tcPr>
          <w:p w14:paraId="687287B9" w14:textId="77777777" w:rsidR="00CD484C" w:rsidRDefault="00CD484C">
            <w:pPr>
              <w:ind w:firstLine="30"/>
              <w:jc w:val="center"/>
              <w:rPr>
                <w:sz w:val="18"/>
                <w:szCs w:val="16"/>
              </w:rPr>
            </w:pPr>
          </w:p>
        </w:tc>
        <w:tc>
          <w:tcPr>
            <w:tcW w:w="690" w:type="pct"/>
            <w:tcBorders>
              <w:top w:val="single" w:sz="6" w:space="0" w:color="000000"/>
              <w:bottom w:val="single" w:sz="6" w:space="0" w:color="000000"/>
            </w:tcBorders>
            <w:shd w:val="pct20" w:color="000000" w:fill="FFFFFF"/>
          </w:tcPr>
          <w:p w14:paraId="0CCDC5FC" w14:textId="77777777" w:rsidR="00CD484C" w:rsidRDefault="00CD484C">
            <w:pPr>
              <w:jc w:val="center"/>
              <w:rPr>
                <w:sz w:val="18"/>
                <w:szCs w:val="16"/>
              </w:rPr>
            </w:pPr>
          </w:p>
        </w:tc>
        <w:tc>
          <w:tcPr>
            <w:tcW w:w="531" w:type="pct"/>
            <w:tcBorders>
              <w:top w:val="single" w:sz="6" w:space="0" w:color="000000"/>
              <w:bottom w:val="single" w:sz="6" w:space="0" w:color="000000"/>
            </w:tcBorders>
            <w:shd w:val="pct20" w:color="000000" w:fill="FFFFFF"/>
          </w:tcPr>
          <w:p w14:paraId="4D311F1A" w14:textId="77777777" w:rsidR="00CD484C" w:rsidRDefault="00CD484C">
            <w:pPr>
              <w:jc w:val="center"/>
              <w:rPr>
                <w:sz w:val="18"/>
                <w:szCs w:val="16"/>
              </w:rPr>
            </w:pPr>
          </w:p>
        </w:tc>
        <w:tc>
          <w:tcPr>
            <w:tcW w:w="657" w:type="pct"/>
            <w:gridSpan w:val="2"/>
            <w:tcBorders>
              <w:top w:val="single" w:sz="6" w:space="0" w:color="000000"/>
              <w:bottom w:val="single" w:sz="6" w:space="0" w:color="000000"/>
            </w:tcBorders>
            <w:shd w:val="pct20" w:color="000000" w:fill="FFFFFF"/>
          </w:tcPr>
          <w:p w14:paraId="7082F804" w14:textId="77777777" w:rsidR="00CD484C" w:rsidRDefault="00CD484C">
            <w:pPr>
              <w:jc w:val="center"/>
              <w:rPr>
                <w:sz w:val="18"/>
                <w:szCs w:val="16"/>
              </w:rPr>
            </w:pPr>
            <w:r>
              <w:rPr>
                <w:sz w:val="18"/>
                <w:szCs w:val="16"/>
              </w:rPr>
              <w:t>3/3,84</w:t>
            </w:r>
          </w:p>
        </w:tc>
        <w:tc>
          <w:tcPr>
            <w:tcW w:w="669" w:type="pct"/>
            <w:tcBorders>
              <w:top w:val="single" w:sz="6" w:space="0" w:color="000000"/>
              <w:bottom w:val="single" w:sz="6" w:space="0" w:color="000000"/>
              <w:right w:val="single" w:sz="6" w:space="0" w:color="808080"/>
            </w:tcBorders>
            <w:shd w:val="pct20" w:color="000000" w:fill="FFFFFF"/>
          </w:tcPr>
          <w:p w14:paraId="6B71ADE8" w14:textId="77777777" w:rsidR="00CD484C" w:rsidRDefault="00CD484C">
            <w:pPr>
              <w:jc w:val="center"/>
              <w:rPr>
                <w:sz w:val="18"/>
                <w:szCs w:val="16"/>
              </w:rPr>
            </w:pPr>
          </w:p>
        </w:tc>
      </w:tr>
      <w:tr w:rsidR="00CD484C" w14:paraId="6BDCF5D7" w14:textId="77777777">
        <w:trPr>
          <w:trHeight w:val="260"/>
          <w:jc w:val="center"/>
        </w:trPr>
        <w:tc>
          <w:tcPr>
            <w:tcW w:w="1270" w:type="pct"/>
            <w:tcBorders>
              <w:top w:val="single" w:sz="6" w:space="0" w:color="000000"/>
              <w:left w:val="single" w:sz="6" w:space="0" w:color="808080"/>
              <w:bottom w:val="single" w:sz="6" w:space="0" w:color="000000"/>
            </w:tcBorders>
            <w:shd w:val="pct25" w:color="C0C0C0" w:fill="FFFFFF"/>
          </w:tcPr>
          <w:p w14:paraId="6CDC4331" w14:textId="77777777" w:rsidR="00CD484C" w:rsidRDefault="00CD484C">
            <w:pPr>
              <w:jc w:val="both"/>
              <w:rPr>
                <w:b/>
                <w:sz w:val="18"/>
                <w:szCs w:val="16"/>
              </w:rPr>
            </w:pPr>
            <w:r>
              <w:rPr>
                <w:b/>
                <w:sz w:val="18"/>
                <w:szCs w:val="16"/>
              </w:rPr>
              <w:t>Ниса</w:t>
            </w:r>
          </w:p>
        </w:tc>
        <w:tc>
          <w:tcPr>
            <w:tcW w:w="656" w:type="pct"/>
            <w:tcBorders>
              <w:top w:val="single" w:sz="6" w:space="0" w:color="000000"/>
              <w:bottom w:val="single" w:sz="6" w:space="0" w:color="000000"/>
            </w:tcBorders>
            <w:shd w:val="pct25" w:color="C0C0C0" w:fill="FFFFFF"/>
          </w:tcPr>
          <w:p w14:paraId="590A9381" w14:textId="77777777" w:rsidR="00CD484C" w:rsidRDefault="00CD484C">
            <w:pPr>
              <w:jc w:val="center"/>
              <w:rPr>
                <w:sz w:val="18"/>
                <w:szCs w:val="16"/>
              </w:rPr>
            </w:pPr>
          </w:p>
        </w:tc>
        <w:tc>
          <w:tcPr>
            <w:tcW w:w="527" w:type="pct"/>
            <w:tcBorders>
              <w:top w:val="single" w:sz="6" w:space="0" w:color="000000"/>
              <w:bottom w:val="single" w:sz="6" w:space="0" w:color="000000"/>
            </w:tcBorders>
            <w:shd w:val="pct25" w:color="C0C0C0" w:fill="FFFFFF"/>
          </w:tcPr>
          <w:p w14:paraId="05C9B194" w14:textId="77777777" w:rsidR="00CD484C" w:rsidRDefault="00CD484C">
            <w:pPr>
              <w:jc w:val="center"/>
              <w:rPr>
                <w:sz w:val="18"/>
                <w:szCs w:val="16"/>
              </w:rPr>
            </w:pPr>
          </w:p>
        </w:tc>
        <w:tc>
          <w:tcPr>
            <w:tcW w:w="690" w:type="pct"/>
            <w:tcBorders>
              <w:top w:val="single" w:sz="6" w:space="0" w:color="000000"/>
              <w:bottom w:val="single" w:sz="6" w:space="0" w:color="000000"/>
            </w:tcBorders>
            <w:shd w:val="pct25" w:color="C0C0C0" w:fill="FFFFFF"/>
          </w:tcPr>
          <w:p w14:paraId="25AE3BF5" w14:textId="77777777" w:rsidR="00CD484C" w:rsidRDefault="00CD484C">
            <w:pPr>
              <w:ind w:firstLine="30"/>
              <w:jc w:val="center"/>
              <w:rPr>
                <w:sz w:val="18"/>
                <w:szCs w:val="16"/>
              </w:rPr>
            </w:pPr>
          </w:p>
        </w:tc>
        <w:tc>
          <w:tcPr>
            <w:tcW w:w="531" w:type="pct"/>
            <w:tcBorders>
              <w:top w:val="single" w:sz="6" w:space="0" w:color="000000"/>
              <w:bottom w:val="single" w:sz="6" w:space="0" w:color="000000"/>
            </w:tcBorders>
            <w:shd w:val="pct25" w:color="C0C0C0" w:fill="FFFFFF"/>
          </w:tcPr>
          <w:p w14:paraId="283EDA88" w14:textId="77777777" w:rsidR="00CD484C" w:rsidRDefault="00CD484C">
            <w:pPr>
              <w:jc w:val="center"/>
              <w:rPr>
                <w:sz w:val="18"/>
                <w:szCs w:val="16"/>
              </w:rPr>
            </w:pPr>
          </w:p>
        </w:tc>
        <w:tc>
          <w:tcPr>
            <w:tcW w:w="635" w:type="pct"/>
            <w:tcBorders>
              <w:top w:val="single" w:sz="6" w:space="0" w:color="000000"/>
              <w:bottom w:val="single" w:sz="6" w:space="0" w:color="000000"/>
            </w:tcBorders>
            <w:shd w:val="pct25" w:color="C0C0C0" w:fill="FFFFFF"/>
          </w:tcPr>
          <w:p w14:paraId="0E52538C" w14:textId="77777777" w:rsidR="00CD484C" w:rsidRDefault="00CD484C">
            <w:pPr>
              <w:jc w:val="center"/>
              <w:rPr>
                <w:sz w:val="18"/>
                <w:szCs w:val="16"/>
              </w:rPr>
            </w:pPr>
          </w:p>
        </w:tc>
        <w:tc>
          <w:tcPr>
            <w:tcW w:w="691" w:type="pct"/>
            <w:gridSpan w:val="2"/>
            <w:tcBorders>
              <w:top w:val="single" w:sz="6" w:space="0" w:color="000000"/>
              <w:bottom w:val="single" w:sz="6" w:space="0" w:color="000000"/>
              <w:right w:val="single" w:sz="6" w:space="0" w:color="808080"/>
            </w:tcBorders>
            <w:shd w:val="pct25" w:color="C0C0C0" w:fill="FFFFFF"/>
          </w:tcPr>
          <w:p w14:paraId="075BE7EC" w14:textId="77777777" w:rsidR="00CD484C" w:rsidRDefault="00CD484C">
            <w:pPr>
              <w:jc w:val="center"/>
              <w:rPr>
                <w:sz w:val="18"/>
                <w:szCs w:val="16"/>
              </w:rPr>
            </w:pPr>
            <w:r>
              <w:rPr>
                <w:sz w:val="18"/>
                <w:szCs w:val="16"/>
              </w:rPr>
              <w:t>2/2,56</w:t>
            </w:r>
          </w:p>
        </w:tc>
      </w:tr>
      <w:tr w:rsidR="00CD484C" w14:paraId="55D565B9" w14:textId="77777777">
        <w:trPr>
          <w:trHeight w:val="260"/>
          <w:jc w:val="center"/>
        </w:trPr>
        <w:tc>
          <w:tcPr>
            <w:tcW w:w="1270" w:type="pct"/>
            <w:tcBorders>
              <w:top w:val="single" w:sz="6" w:space="0" w:color="000000"/>
              <w:left w:val="single" w:sz="6" w:space="0" w:color="808080"/>
              <w:bottom w:val="single" w:sz="6" w:space="0" w:color="000000"/>
            </w:tcBorders>
            <w:shd w:val="pct20" w:color="000000" w:fill="FFFFFF"/>
          </w:tcPr>
          <w:p w14:paraId="16D02049" w14:textId="77777777" w:rsidR="00CD484C" w:rsidRDefault="00CD484C">
            <w:pPr>
              <w:jc w:val="both"/>
              <w:rPr>
                <w:b/>
                <w:sz w:val="18"/>
                <w:szCs w:val="16"/>
              </w:rPr>
            </w:pPr>
            <w:r>
              <w:rPr>
                <w:b/>
                <w:sz w:val="18"/>
                <w:szCs w:val="16"/>
              </w:rPr>
              <w:t>Мерв (?)</w:t>
            </w:r>
          </w:p>
        </w:tc>
        <w:tc>
          <w:tcPr>
            <w:tcW w:w="656" w:type="pct"/>
            <w:tcBorders>
              <w:top w:val="single" w:sz="6" w:space="0" w:color="000000"/>
              <w:bottom w:val="single" w:sz="6" w:space="0" w:color="000000"/>
            </w:tcBorders>
            <w:shd w:val="pct20" w:color="000000" w:fill="FFFFFF"/>
          </w:tcPr>
          <w:p w14:paraId="497348A4" w14:textId="77777777" w:rsidR="00CD484C" w:rsidRDefault="00CD484C">
            <w:pPr>
              <w:jc w:val="center"/>
              <w:rPr>
                <w:sz w:val="18"/>
                <w:szCs w:val="16"/>
              </w:rPr>
            </w:pPr>
          </w:p>
        </w:tc>
        <w:tc>
          <w:tcPr>
            <w:tcW w:w="527" w:type="pct"/>
            <w:tcBorders>
              <w:top w:val="single" w:sz="6" w:space="0" w:color="000000"/>
              <w:bottom w:val="single" w:sz="6" w:space="0" w:color="000000"/>
            </w:tcBorders>
            <w:shd w:val="pct20" w:color="000000" w:fill="FFFFFF"/>
          </w:tcPr>
          <w:p w14:paraId="66B6974A" w14:textId="77777777" w:rsidR="00CD484C" w:rsidRDefault="00CD484C">
            <w:pPr>
              <w:jc w:val="center"/>
              <w:rPr>
                <w:sz w:val="18"/>
                <w:szCs w:val="16"/>
              </w:rPr>
            </w:pPr>
          </w:p>
        </w:tc>
        <w:tc>
          <w:tcPr>
            <w:tcW w:w="690" w:type="pct"/>
            <w:tcBorders>
              <w:top w:val="single" w:sz="6" w:space="0" w:color="000000"/>
              <w:bottom w:val="single" w:sz="6" w:space="0" w:color="000000"/>
            </w:tcBorders>
            <w:shd w:val="pct20" w:color="000000" w:fill="FFFFFF"/>
          </w:tcPr>
          <w:p w14:paraId="05D6D850" w14:textId="77777777" w:rsidR="00CD484C" w:rsidRDefault="00CD484C">
            <w:pPr>
              <w:ind w:firstLine="30"/>
              <w:jc w:val="center"/>
              <w:rPr>
                <w:sz w:val="18"/>
                <w:szCs w:val="16"/>
              </w:rPr>
            </w:pPr>
          </w:p>
        </w:tc>
        <w:tc>
          <w:tcPr>
            <w:tcW w:w="531" w:type="pct"/>
            <w:tcBorders>
              <w:top w:val="single" w:sz="6" w:space="0" w:color="000000"/>
              <w:bottom w:val="single" w:sz="6" w:space="0" w:color="000000"/>
            </w:tcBorders>
            <w:shd w:val="pct20" w:color="000000" w:fill="FFFFFF"/>
          </w:tcPr>
          <w:p w14:paraId="1E353428" w14:textId="77777777" w:rsidR="00CD484C" w:rsidRDefault="00CD484C">
            <w:pPr>
              <w:jc w:val="center"/>
              <w:rPr>
                <w:sz w:val="18"/>
                <w:szCs w:val="16"/>
              </w:rPr>
            </w:pPr>
          </w:p>
        </w:tc>
        <w:tc>
          <w:tcPr>
            <w:tcW w:w="635" w:type="pct"/>
            <w:tcBorders>
              <w:top w:val="single" w:sz="6" w:space="0" w:color="000000"/>
              <w:bottom w:val="single" w:sz="6" w:space="0" w:color="000000"/>
            </w:tcBorders>
            <w:shd w:val="pct20" w:color="000000" w:fill="FFFFFF"/>
          </w:tcPr>
          <w:p w14:paraId="7A1E93C2" w14:textId="77777777" w:rsidR="00CD484C" w:rsidRDefault="00CD484C">
            <w:pPr>
              <w:jc w:val="center"/>
              <w:rPr>
                <w:sz w:val="18"/>
                <w:szCs w:val="16"/>
              </w:rPr>
            </w:pPr>
          </w:p>
        </w:tc>
        <w:tc>
          <w:tcPr>
            <w:tcW w:w="691" w:type="pct"/>
            <w:gridSpan w:val="2"/>
            <w:tcBorders>
              <w:top w:val="single" w:sz="6" w:space="0" w:color="000000"/>
              <w:bottom w:val="single" w:sz="6" w:space="0" w:color="000000"/>
              <w:right w:val="single" w:sz="6" w:space="0" w:color="808080"/>
            </w:tcBorders>
            <w:shd w:val="pct20" w:color="000000" w:fill="FFFFFF"/>
          </w:tcPr>
          <w:p w14:paraId="02176048" w14:textId="77777777" w:rsidR="00CD484C" w:rsidRDefault="00CD484C">
            <w:pPr>
              <w:jc w:val="center"/>
              <w:rPr>
                <w:sz w:val="18"/>
                <w:szCs w:val="16"/>
              </w:rPr>
            </w:pPr>
            <w:r>
              <w:rPr>
                <w:sz w:val="18"/>
                <w:szCs w:val="16"/>
              </w:rPr>
              <w:t>5/6,41</w:t>
            </w:r>
          </w:p>
        </w:tc>
      </w:tr>
      <w:tr w:rsidR="00CD484C" w14:paraId="7CA0B8E3" w14:textId="77777777">
        <w:trPr>
          <w:trHeight w:val="260"/>
          <w:jc w:val="center"/>
        </w:trPr>
        <w:tc>
          <w:tcPr>
            <w:tcW w:w="1270" w:type="pct"/>
            <w:tcBorders>
              <w:top w:val="single" w:sz="6" w:space="0" w:color="000000"/>
              <w:left w:val="single" w:sz="6" w:space="0" w:color="808080"/>
              <w:bottom w:val="single" w:sz="6" w:space="0" w:color="000000"/>
            </w:tcBorders>
            <w:shd w:val="pct25" w:color="C0C0C0" w:fill="FFFFFF"/>
          </w:tcPr>
          <w:p w14:paraId="76AC538E" w14:textId="77777777" w:rsidR="00CD484C" w:rsidRDefault="00CD484C">
            <w:pPr>
              <w:jc w:val="both"/>
              <w:rPr>
                <w:b/>
                <w:sz w:val="18"/>
                <w:szCs w:val="16"/>
              </w:rPr>
            </w:pPr>
            <w:r>
              <w:rPr>
                <w:b/>
                <w:sz w:val="18"/>
                <w:szCs w:val="16"/>
              </w:rPr>
              <w:t>Ферава</w:t>
            </w:r>
          </w:p>
        </w:tc>
        <w:tc>
          <w:tcPr>
            <w:tcW w:w="656" w:type="pct"/>
            <w:tcBorders>
              <w:top w:val="single" w:sz="6" w:space="0" w:color="000000"/>
              <w:bottom w:val="single" w:sz="6" w:space="0" w:color="000000"/>
            </w:tcBorders>
            <w:shd w:val="pct25" w:color="C0C0C0" w:fill="FFFFFF"/>
          </w:tcPr>
          <w:p w14:paraId="4C0E6E43" w14:textId="77777777" w:rsidR="00CD484C" w:rsidRDefault="00CD484C">
            <w:pPr>
              <w:jc w:val="center"/>
              <w:rPr>
                <w:sz w:val="18"/>
                <w:szCs w:val="16"/>
              </w:rPr>
            </w:pPr>
          </w:p>
        </w:tc>
        <w:tc>
          <w:tcPr>
            <w:tcW w:w="527" w:type="pct"/>
            <w:tcBorders>
              <w:top w:val="single" w:sz="6" w:space="0" w:color="000000"/>
              <w:bottom w:val="single" w:sz="6" w:space="0" w:color="000000"/>
            </w:tcBorders>
            <w:shd w:val="pct25" w:color="C0C0C0" w:fill="FFFFFF"/>
          </w:tcPr>
          <w:p w14:paraId="60A8EDF5" w14:textId="77777777" w:rsidR="00CD484C" w:rsidRDefault="00CD484C">
            <w:pPr>
              <w:jc w:val="center"/>
              <w:rPr>
                <w:sz w:val="18"/>
                <w:szCs w:val="16"/>
              </w:rPr>
            </w:pPr>
          </w:p>
        </w:tc>
        <w:tc>
          <w:tcPr>
            <w:tcW w:w="690" w:type="pct"/>
            <w:tcBorders>
              <w:top w:val="single" w:sz="6" w:space="0" w:color="000000"/>
              <w:bottom w:val="single" w:sz="6" w:space="0" w:color="000000"/>
            </w:tcBorders>
            <w:shd w:val="pct25" w:color="C0C0C0" w:fill="FFFFFF"/>
          </w:tcPr>
          <w:p w14:paraId="4BBDC63E" w14:textId="77777777" w:rsidR="00CD484C" w:rsidRDefault="00CD484C">
            <w:pPr>
              <w:ind w:firstLine="30"/>
              <w:jc w:val="center"/>
              <w:rPr>
                <w:sz w:val="18"/>
                <w:szCs w:val="16"/>
              </w:rPr>
            </w:pPr>
          </w:p>
        </w:tc>
        <w:tc>
          <w:tcPr>
            <w:tcW w:w="531" w:type="pct"/>
            <w:tcBorders>
              <w:top w:val="single" w:sz="6" w:space="0" w:color="000000"/>
              <w:bottom w:val="single" w:sz="6" w:space="0" w:color="000000"/>
            </w:tcBorders>
            <w:shd w:val="pct25" w:color="C0C0C0" w:fill="FFFFFF"/>
          </w:tcPr>
          <w:p w14:paraId="4A6B0420" w14:textId="77777777" w:rsidR="00CD484C" w:rsidRDefault="00CD484C">
            <w:pPr>
              <w:jc w:val="center"/>
              <w:rPr>
                <w:sz w:val="18"/>
                <w:szCs w:val="16"/>
              </w:rPr>
            </w:pPr>
          </w:p>
        </w:tc>
        <w:tc>
          <w:tcPr>
            <w:tcW w:w="635" w:type="pct"/>
            <w:tcBorders>
              <w:top w:val="single" w:sz="6" w:space="0" w:color="000000"/>
              <w:bottom w:val="single" w:sz="6" w:space="0" w:color="000000"/>
            </w:tcBorders>
            <w:shd w:val="pct25" w:color="C0C0C0" w:fill="FFFFFF"/>
          </w:tcPr>
          <w:p w14:paraId="068A2408" w14:textId="77777777" w:rsidR="00CD484C" w:rsidRDefault="00CD484C">
            <w:pPr>
              <w:jc w:val="center"/>
              <w:rPr>
                <w:sz w:val="18"/>
                <w:szCs w:val="16"/>
              </w:rPr>
            </w:pPr>
          </w:p>
        </w:tc>
        <w:tc>
          <w:tcPr>
            <w:tcW w:w="691" w:type="pct"/>
            <w:gridSpan w:val="2"/>
            <w:tcBorders>
              <w:top w:val="single" w:sz="6" w:space="0" w:color="000000"/>
              <w:bottom w:val="single" w:sz="6" w:space="0" w:color="000000"/>
              <w:right w:val="single" w:sz="6" w:space="0" w:color="808080"/>
            </w:tcBorders>
            <w:shd w:val="pct25" w:color="C0C0C0" w:fill="FFFFFF"/>
          </w:tcPr>
          <w:p w14:paraId="7C9509AA" w14:textId="77777777" w:rsidR="00CD484C" w:rsidRDefault="00CD484C">
            <w:pPr>
              <w:jc w:val="center"/>
              <w:rPr>
                <w:sz w:val="18"/>
                <w:szCs w:val="16"/>
              </w:rPr>
            </w:pPr>
            <w:r>
              <w:rPr>
                <w:sz w:val="18"/>
                <w:szCs w:val="16"/>
              </w:rPr>
              <w:t>18/23,08</w:t>
            </w:r>
          </w:p>
        </w:tc>
      </w:tr>
      <w:tr w:rsidR="00CD484C" w14:paraId="7997D182" w14:textId="77777777">
        <w:trPr>
          <w:trHeight w:val="260"/>
          <w:jc w:val="center"/>
        </w:trPr>
        <w:tc>
          <w:tcPr>
            <w:tcW w:w="1270" w:type="pct"/>
            <w:tcBorders>
              <w:top w:val="single" w:sz="6" w:space="0" w:color="000000"/>
              <w:left w:val="single" w:sz="6" w:space="0" w:color="808080"/>
              <w:bottom w:val="single" w:sz="6" w:space="0" w:color="000000"/>
            </w:tcBorders>
            <w:shd w:val="pct20" w:color="000000" w:fill="FFFFFF"/>
          </w:tcPr>
          <w:p w14:paraId="3CE1DFAA" w14:textId="77777777" w:rsidR="00CD484C" w:rsidRDefault="00CD484C">
            <w:pPr>
              <w:jc w:val="both"/>
              <w:rPr>
                <w:b/>
                <w:sz w:val="18"/>
                <w:szCs w:val="16"/>
              </w:rPr>
            </w:pPr>
            <w:r>
              <w:rPr>
                <w:b/>
                <w:sz w:val="18"/>
                <w:szCs w:val="16"/>
              </w:rPr>
              <w:t>Хорезм</w:t>
            </w:r>
          </w:p>
        </w:tc>
        <w:tc>
          <w:tcPr>
            <w:tcW w:w="656" w:type="pct"/>
            <w:tcBorders>
              <w:top w:val="single" w:sz="6" w:space="0" w:color="000000"/>
              <w:bottom w:val="single" w:sz="6" w:space="0" w:color="000000"/>
            </w:tcBorders>
            <w:shd w:val="pct20" w:color="000000" w:fill="FFFFFF"/>
          </w:tcPr>
          <w:p w14:paraId="404E58B2" w14:textId="77777777" w:rsidR="00CD484C" w:rsidRDefault="00CD484C">
            <w:pPr>
              <w:jc w:val="center"/>
              <w:rPr>
                <w:sz w:val="18"/>
                <w:szCs w:val="16"/>
              </w:rPr>
            </w:pPr>
          </w:p>
        </w:tc>
        <w:tc>
          <w:tcPr>
            <w:tcW w:w="527" w:type="pct"/>
            <w:tcBorders>
              <w:top w:val="single" w:sz="6" w:space="0" w:color="000000"/>
              <w:bottom w:val="single" w:sz="6" w:space="0" w:color="000000"/>
            </w:tcBorders>
            <w:shd w:val="pct20" w:color="000000" w:fill="FFFFFF"/>
          </w:tcPr>
          <w:p w14:paraId="18AD79A3" w14:textId="77777777" w:rsidR="00CD484C" w:rsidRDefault="00CD484C">
            <w:pPr>
              <w:jc w:val="center"/>
              <w:rPr>
                <w:sz w:val="18"/>
                <w:szCs w:val="16"/>
              </w:rPr>
            </w:pPr>
          </w:p>
        </w:tc>
        <w:tc>
          <w:tcPr>
            <w:tcW w:w="690" w:type="pct"/>
            <w:tcBorders>
              <w:top w:val="single" w:sz="6" w:space="0" w:color="000000"/>
              <w:bottom w:val="single" w:sz="6" w:space="0" w:color="000000"/>
            </w:tcBorders>
            <w:shd w:val="pct20" w:color="000000" w:fill="FFFFFF"/>
          </w:tcPr>
          <w:p w14:paraId="522014F1" w14:textId="77777777" w:rsidR="00CD484C" w:rsidRDefault="00CD484C">
            <w:pPr>
              <w:ind w:firstLine="30"/>
              <w:jc w:val="center"/>
              <w:rPr>
                <w:sz w:val="18"/>
                <w:szCs w:val="16"/>
              </w:rPr>
            </w:pPr>
          </w:p>
        </w:tc>
        <w:tc>
          <w:tcPr>
            <w:tcW w:w="531" w:type="pct"/>
            <w:tcBorders>
              <w:top w:val="single" w:sz="6" w:space="0" w:color="000000"/>
              <w:bottom w:val="single" w:sz="6" w:space="0" w:color="000000"/>
            </w:tcBorders>
            <w:shd w:val="pct20" w:color="000000" w:fill="FFFFFF"/>
          </w:tcPr>
          <w:p w14:paraId="33D03A44" w14:textId="77777777" w:rsidR="00CD484C" w:rsidRDefault="00CD484C">
            <w:pPr>
              <w:jc w:val="center"/>
              <w:rPr>
                <w:sz w:val="18"/>
                <w:szCs w:val="16"/>
              </w:rPr>
            </w:pPr>
          </w:p>
        </w:tc>
        <w:tc>
          <w:tcPr>
            <w:tcW w:w="635" w:type="pct"/>
            <w:tcBorders>
              <w:top w:val="single" w:sz="6" w:space="0" w:color="000000"/>
              <w:bottom w:val="single" w:sz="6" w:space="0" w:color="000000"/>
            </w:tcBorders>
            <w:shd w:val="pct20" w:color="000000" w:fill="FFFFFF"/>
          </w:tcPr>
          <w:p w14:paraId="56581EF0" w14:textId="77777777" w:rsidR="00CD484C" w:rsidRDefault="00CD484C">
            <w:pPr>
              <w:jc w:val="center"/>
              <w:rPr>
                <w:sz w:val="18"/>
                <w:szCs w:val="16"/>
              </w:rPr>
            </w:pPr>
          </w:p>
        </w:tc>
        <w:tc>
          <w:tcPr>
            <w:tcW w:w="691" w:type="pct"/>
            <w:gridSpan w:val="2"/>
            <w:tcBorders>
              <w:top w:val="single" w:sz="6" w:space="0" w:color="000000"/>
              <w:bottom w:val="single" w:sz="6" w:space="0" w:color="000000"/>
              <w:right w:val="single" w:sz="6" w:space="0" w:color="808080"/>
            </w:tcBorders>
            <w:shd w:val="pct20" w:color="000000" w:fill="FFFFFF"/>
          </w:tcPr>
          <w:p w14:paraId="0DA7CE08" w14:textId="77777777" w:rsidR="00CD484C" w:rsidRDefault="00CD484C">
            <w:pPr>
              <w:jc w:val="center"/>
              <w:rPr>
                <w:sz w:val="18"/>
                <w:szCs w:val="16"/>
              </w:rPr>
            </w:pPr>
            <w:r>
              <w:rPr>
                <w:sz w:val="18"/>
                <w:szCs w:val="16"/>
              </w:rPr>
              <w:t>21/26,23</w:t>
            </w:r>
          </w:p>
        </w:tc>
      </w:tr>
      <w:tr w:rsidR="00CD484C" w14:paraId="1FD2110C" w14:textId="77777777">
        <w:trPr>
          <w:trHeight w:val="260"/>
          <w:jc w:val="center"/>
        </w:trPr>
        <w:tc>
          <w:tcPr>
            <w:tcW w:w="1270" w:type="pct"/>
            <w:tcBorders>
              <w:top w:val="single" w:sz="6" w:space="0" w:color="000000"/>
              <w:left w:val="single" w:sz="6" w:space="0" w:color="808080"/>
              <w:bottom w:val="single" w:sz="6" w:space="0" w:color="000000"/>
            </w:tcBorders>
            <w:shd w:val="pct25" w:color="C0C0C0" w:fill="FFFFFF"/>
          </w:tcPr>
          <w:p w14:paraId="504D68CE" w14:textId="77777777" w:rsidR="00CD484C" w:rsidRDefault="00CD484C">
            <w:pPr>
              <w:jc w:val="both"/>
              <w:rPr>
                <w:b/>
                <w:sz w:val="18"/>
                <w:szCs w:val="16"/>
              </w:rPr>
            </w:pPr>
            <w:r>
              <w:rPr>
                <w:b/>
                <w:sz w:val="18"/>
                <w:szCs w:val="16"/>
              </w:rPr>
              <w:t>Нисабур</w:t>
            </w:r>
          </w:p>
        </w:tc>
        <w:tc>
          <w:tcPr>
            <w:tcW w:w="656" w:type="pct"/>
            <w:tcBorders>
              <w:top w:val="single" w:sz="6" w:space="0" w:color="000000"/>
              <w:bottom w:val="single" w:sz="6" w:space="0" w:color="000000"/>
            </w:tcBorders>
            <w:shd w:val="pct25" w:color="C0C0C0" w:fill="FFFFFF"/>
          </w:tcPr>
          <w:p w14:paraId="44BA74FC" w14:textId="77777777" w:rsidR="00CD484C" w:rsidRDefault="00CD484C">
            <w:pPr>
              <w:jc w:val="center"/>
              <w:rPr>
                <w:sz w:val="18"/>
                <w:szCs w:val="16"/>
              </w:rPr>
            </w:pPr>
          </w:p>
        </w:tc>
        <w:tc>
          <w:tcPr>
            <w:tcW w:w="527" w:type="pct"/>
            <w:tcBorders>
              <w:top w:val="single" w:sz="6" w:space="0" w:color="000000"/>
              <w:bottom w:val="single" w:sz="6" w:space="0" w:color="000000"/>
            </w:tcBorders>
            <w:shd w:val="pct25" w:color="C0C0C0" w:fill="FFFFFF"/>
          </w:tcPr>
          <w:p w14:paraId="4026D2B2" w14:textId="77777777" w:rsidR="00CD484C" w:rsidRDefault="00CD484C">
            <w:pPr>
              <w:jc w:val="center"/>
              <w:rPr>
                <w:sz w:val="18"/>
                <w:szCs w:val="16"/>
              </w:rPr>
            </w:pPr>
          </w:p>
        </w:tc>
        <w:tc>
          <w:tcPr>
            <w:tcW w:w="690" w:type="pct"/>
            <w:tcBorders>
              <w:top w:val="single" w:sz="6" w:space="0" w:color="000000"/>
              <w:bottom w:val="single" w:sz="6" w:space="0" w:color="000000"/>
            </w:tcBorders>
            <w:shd w:val="pct25" w:color="C0C0C0" w:fill="FFFFFF"/>
          </w:tcPr>
          <w:p w14:paraId="2C6DC6C4" w14:textId="77777777" w:rsidR="00CD484C" w:rsidRDefault="00CD484C">
            <w:pPr>
              <w:ind w:firstLine="30"/>
              <w:jc w:val="center"/>
              <w:rPr>
                <w:sz w:val="18"/>
                <w:szCs w:val="16"/>
              </w:rPr>
            </w:pPr>
          </w:p>
        </w:tc>
        <w:tc>
          <w:tcPr>
            <w:tcW w:w="531" w:type="pct"/>
            <w:tcBorders>
              <w:top w:val="single" w:sz="6" w:space="0" w:color="000000"/>
              <w:bottom w:val="single" w:sz="6" w:space="0" w:color="000000"/>
            </w:tcBorders>
            <w:shd w:val="pct25" w:color="C0C0C0" w:fill="FFFFFF"/>
          </w:tcPr>
          <w:p w14:paraId="0A6F075A" w14:textId="77777777" w:rsidR="00CD484C" w:rsidRDefault="00CD484C">
            <w:pPr>
              <w:jc w:val="center"/>
              <w:rPr>
                <w:sz w:val="18"/>
                <w:szCs w:val="16"/>
              </w:rPr>
            </w:pPr>
            <w:r>
              <w:rPr>
                <w:sz w:val="18"/>
                <w:szCs w:val="16"/>
              </w:rPr>
              <w:t>1/1,28</w:t>
            </w:r>
          </w:p>
        </w:tc>
        <w:tc>
          <w:tcPr>
            <w:tcW w:w="635" w:type="pct"/>
            <w:tcBorders>
              <w:top w:val="single" w:sz="6" w:space="0" w:color="000000"/>
              <w:bottom w:val="single" w:sz="6" w:space="0" w:color="000000"/>
            </w:tcBorders>
            <w:shd w:val="pct25" w:color="C0C0C0" w:fill="FFFFFF"/>
          </w:tcPr>
          <w:p w14:paraId="6079B95F" w14:textId="77777777" w:rsidR="00CD484C" w:rsidRDefault="00CD484C">
            <w:pPr>
              <w:jc w:val="center"/>
              <w:rPr>
                <w:sz w:val="18"/>
                <w:szCs w:val="16"/>
              </w:rPr>
            </w:pPr>
          </w:p>
        </w:tc>
        <w:tc>
          <w:tcPr>
            <w:tcW w:w="691" w:type="pct"/>
            <w:gridSpan w:val="2"/>
            <w:tcBorders>
              <w:top w:val="single" w:sz="6" w:space="0" w:color="000000"/>
              <w:bottom w:val="single" w:sz="6" w:space="0" w:color="000000"/>
              <w:right w:val="single" w:sz="6" w:space="0" w:color="808080"/>
            </w:tcBorders>
            <w:shd w:val="pct25" w:color="C0C0C0" w:fill="FFFFFF"/>
          </w:tcPr>
          <w:p w14:paraId="38C95BC3" w14:textId="77777777" w:rsidR="00CD484C" w:rsidRDefault="00CD484C">
            <w:pPr>
              <w:jc w:val="center"/>
              <w:rPr>
                <w:sz w:val="18"/>
                <w:szCs w:val="16"/>
              </w:rPr>
            </w:pPr>
            <w:r>
              <w:rPr>
                <w:sz w:val="18"/>
                <w:szCs w:val="16"/>
              </w:rPr>
              <w:t>3/3,84</w:t>
            </w:r>
          </w:p>
        </w:tc>
      </w:tr>
      <w:tr w:rsidR="00CD484C" w14:paraId="648E5BAE" w14:textId="77777777">
        <w:trPr>
          <w:trHeight w:val="260"/>
          <w:jc w:val="center"/>
        </w:trPr>
        <w:tc>
          <w:tcPr>
            <w:tcW w:w="1270" w:type="pct"/>
            <w:tcBorders>
              <w:top w:val="single" w:sz="6" w:space="0" w:color="000000"/>
              <w:left w:val="single" w:sz="6" w:space="0" w:color="808080"/>
              <w:bottom w:val="single" w:sz="12" w:space="0" w:color="808080"/>
            </w:tcBorders>
            <w:shd w:val="pct20" w:color="000000" w:fill="FFFFFF"/>
          </w:tcPr>
          <w:p w14:paraId="58E4BE98" w14:textId="77777777" w:rsidR="00CD484C" w:rsidRDefault="00CD484C">
            <w:pPr>
              <w:jc w:val="both"/>
              <w:rPr>
                <w:b/>
                <w:sz w:val="18"/>
                <w:szCs w:val="16"/>
              </w:rPr>
            </w:pPr>
            <w:r>
              <w:rPr>
                <w:b/>
                <w:sz w:val="18"/>
                <w:szCs w:val="16"/>
              </w:rPr>
              <w:t>Илеки</w:t>
            </w:r>
          </w:p>
        </w:tc>
        <w:tc>
          <w:tcPr>
            <w:tcW w:w="656" w:type="pct"/>
            <w:tcBorders>
              <w:top w:val="single" w:sz="6" w:space="0" w:color="000000"/>
              <w:bottom w:val="single" w:sz="12" w:space="0" w:color="808080"/>
            </w:tcBorders>
            <w:shd w:val="pct20" w:color="000000" w:fill="FFFFFF"/>
          </w:tcPr>
          <w:p w14:paraId="5A70A0C3" w14:textId="77777777" w:rsidR="00CD484C" w:rsidRDefault="00CD484C">
            <w:pPr>
              <w:jc w:val="center"/>
              <w:rPr>
                <w:sz w:val="18"/>
                <w:szCs w:val="16"/>
              </w:rPr>
            </w:pPr>
          </w:p>
        </w:tc>
        <w:tc>
          <w:tcPr>
            <w:tcW w:w="527" w:type="pct"/>
            <w:tcBorders>
              <w:top w:val="single" w:sz="6" w:space="0" w:color="000000"/>
              <w:bottom w:val="single" w:sz="12" w:space="0" w:color="808080"/>
            </w:tcBorders>
            <w:shd w:val="pct20" w:color="000000" w:fill="FFFFFF"/>
          </w:tcPr>
          <w:p w14:paraId="2DD446FC" w14:textId="77777777" w:rsidR="00CD484C" w:rsidRDefault="00CD484C">
            <w:pPr>
              <w:jc w:val="center"/>
              <w:rPr>
                <w:sz w:val="18"/>
                <w:szCs w:val="16"/>
              </w:rPr>
            </w:pPr>
          </w:p>
        </w:tc>
        <w:tc>
          <w:tcPr>
            <w:tcW w:w="690" w:type="pct"/>
            <w:tcBorders>
              <w:top w:val="single" w:sz="6" w:space="0" w:color="000000"/>
              <w:bottom w:val="single" w:sz="12" w:space="0" w:color="808080"/>
            </w:tcBorders>
            <w:shd w:val="pct20" w:color="000000" w:fill="FFFFFF"/>
          </w:tcPr>
          <w:p w14:paraId="43B40BD6" w14:textId="77777777" w:rsidR="00CD484C" w:rsidRDefault="00CD484C">
            <w:pPr>
              <w:ind w:firstLine="30"/>
              <w:jc w:val="center"/>
              <w:rPr>
                <w:sz w:val="18"/>
                <w:szCs w:val="16"/>
              </w:rPr>
            </w:pPr>
          </w:p>
        </w:tc>
        <w:tc>
          <w:tcPr>
            <w:tcW w:w="531" w:type="pct"/>
            <w:tcBorders>
              <w:top w:val="single" w:sz="6" w:space="0" w:color="000000"/>
              <w:bottom w:val="single" w:sz="12" w:space="0" w:color="808080"/>
            </w:tcBorders>
            <w:shd w:val="pct20" w:color="000000" w:fill="FFFFFF"/>
          </w:tcPr>
          <w:p w14:paraId="6D36E5DC" w14:textId="77777777" w:rsidR="00CD484C" w:rsidRDefault="00CD484C">
            <w:pPr>
              <w:jc w:val="center"/>
              <w:rPr>
                <w:sz w:val="18"/>
                <w:szCs w:val="16"/>
              </w:rPr>
            </w:pPr>
          </w:p>
        </w:tc>
        <w:tc>
          <w:tcPr>
            <w:tcW w:w="635" w:type="pct"/>
            <w:tcBorders>
              <w:top w:val="single" w:sz="6" w:space="0" w:color="000000"/>
              <w:bottom w:val="single" w:sz="12" w:space="0" w:color="808080"/>
            </w:tcBorders>
            <w:shd w:val="pct20" w:color="000000" w:fill="FFFFFF"/>
          </w:tcPr>
          <w:p w14:paraId="6E1D0FF2" w14:textId="77777777" w:rsidR="00CD484C" w:rsidRDefault="00CD484C">
            <w:pPr>
              <w:jc w:val="center"/>
              <w:rPr>
                <w:sz w:val="18"/>
                <w:szCs w:val="16"/>
              </w:rPr>
            </w:pPr>
          </w:p>
        </w:tc>
        <w:tc>
          <w:tcPr>
            <w:tcW w:w="691" w:type="pct"/>
            <w:gridSpan w:val="2"/>
            <w:tcBorders>
              <w:top w:val="single" w:sz="6" w:space="0" w:color="000000"/>
              <w:bottom w:val="single" w:sz="12" w:space="0" w:color="808080"/>
              <w:right w:val="single" w:sz="6" w:space="0" w:color="808080"/>
            </w:tcBorders>
            <w:shd w:val="pct20" w:color="000000" w:fill="FFFFFF"/>
          </w:tcPr>
          <w:p w14:paraId="6BF9ADD3" w14:textId="77777777" w:rsidR="00CD484C" w:rsidRDefault="00CD484C">
            <w:pPr>
              <w:jc w:val="center"/>
              <w:rPr>
                <w:sz w:val="18"/>
                <w:szCs w:val="16"/>
              </w:rPr>
            </w:pPr>
            <w:r>
              <w:rPr>
                <w:sz w:val="18"/>
                <w:szCs w:val="16"/>
              </w:rPr>
              <w:t>2/2,56</w:t>
            </w:r>
          </w:p>
        </w:tc>
      </w:tr>
    </w:tbl>
    <w:p w14:paraId="44600EEF" w14:textId="77777777" w:rsidR="00CD484C" w:rsidRDefault="00CD484C">
      <w:pPr>
        <w:spacing w:before="120"/>
        <w:ind w:firstLine="397"/>
        <w:jc w:val="both"/>
        <w:rPr>
          <w:sz w:val="20"/>
          <w:szCs w:val="16"/>
        </w:rPr>
      </w:pPr>
      <w:r>
        <w:rPr>
          <w:sz w:val="20"/>
          <w:szCs w:val="16"/>
        </w:rPr>
        <w:t>ВСЕГО:   78(100%)</w:t>
      </w:r>
    </w:p>
    <w:p w14:paraId="3429AFCE" w14:textId="77777777" w:rsidR="00CD484C" w:rsidRDefault="00CD484C">
      <w:pPr>
        <w:ind w:firstLine="397"/>
        <w:jc w:val="both"/>
        <w:rPr>
          <w:sz w:val="20"/>
          <w:szCs w:val="16"/>
        </w:rPr>
      </w:pPr>
    </w:p>
    <w:p w14:paraId="3E4A4887" w14:textId="77777777" w:rsidR="00CD484C" w:rsidRDefault="00CD484C">
      <w:pPr>
        <w:ind w:firstLine="397"/>
        <w:jc w:val="both"/>
        <w:rPr>
          <w:sz w:val="20"/>
          <w:szCs w:val="16"/>
        </w:rPr>
      </w:pPr>
      <w:r>
        <w:rPr>
          <w:sz w:val="20"/>
          <w:szCs w:val="16"/>
        </w:rPr>
        <w:t xml:space="preserve">Поскольку младшая ХГ клада занимает почти 85% всего объема и превышает почти 10-кратно предшествующую ей хроногруппу, то на этом основании можно утверждать, что имманентное изменение состава </w:t>
      </w:r>
      <w:r>
        <w:rPr>
          <w:sz w:val="20"/>
          <w:szCs w:val="16"/>
        </w:rPr>
        <w:lastRenderedPageBreak/>
        <w:t>денежного обращения  на территории Волжской Булгарии в данном случае произошло в течение 10–15 лет.</w:t>
      </w:r>
    </w:p>
    <w:p w14:paraId="42CD42F4" w14:textId="77777777" w:rsidR="00CD484C" w:rsidRDefault="00CD484C">
      <w:pPr>
        <w:ind w:firstLine="397"/>
        <w:jc w:val="both"/>
        <w:rPr>
          <w:sz w:val="20"/>
          <w:szCs w:val="16"/>
        </w:rPr>
      </w:pPr>
      <w:r>
        <w:rPr>
          <w:sz w:val="20"/>
          <w:szCs w:val="16"/>
        </w:rPr>
        <w:t>Клад Кр.баран, будучи моложе Чистопольского моложе на 15 лет, демонстрирует те же принципы складывания денежного обращения  основанного на ввозе иноземной монеты, выявив особенности монетного обращения в устье Камы, мы должны констатировать, вслед за В.Л. Яниым, что денежное обращение определялось исключительно «особенностями состава ввозимых монет. Но эти особенности не способны /были/ существенно изменить общей характеристики развития денежного хозяйства на Руси» (Янин В.Л., 1956. – С. 63).</w:t>
      </w:r>
    </w:p>
    <w:p w14:paraId="578E514C" w14:textId="77777777" w:rsidR="00CD484C" w:rsidRDefault="00CD484C">
      <w:pPr>
        <w:ind w:firstLine="397"/>
        <w:jc w:val="both"/>
        <w:rPr>
          <w:spacing w:val="-2"/>
          <w:sz w:val="20"/>
          <w:szCs w:val="16"/>
        </w:rPr>
      </w:pPr>
      <w:r>
        <w:rPr>
          <w:spacing w:val="-2"/>
          <w:sz w:val="20"/>
          <w:szCs w:val="16"/>
        </w:rPr>
        <w:t xml:space="preserve">Изменение хронологического состава кладов происходило за счет постоянного обновления монетной массы, т.е. притока монеты в обращение из стран-эмитентов на первые денежные рынки (Фомин А.В., 1995. – С. 65). </w:t>
      </w:r>
    </w:p>
    <w:p w14:paraId="09D1B577" w14:textId="77777777" w:rsidR="00CD484C" w:rsidRDefault="00CD484C">
      <w:pPr>
        <w:ind w:firstLine="397"/>
        <w:jc w:val="both"/>
        <w:rPr>
          <w:sz w:val="20"/>
          <w:szCs w:val="16"/>
        </w:rPr>
      </w:pPr>
      <w:r>
        <w:rPr>
          <w:sz w:val="20"/>
          <w:szCs w:val="16"/>
        </w:rPr>
        <w:t>Поскольку можно утверждать, с достаточной долей уверенности, что хронология последнего десятилетия кладов, отложившиеся в самом начале монетных потоков в странах-потребителях, отражают денежное хозяйство, т.е. непосредственную эмиссию монеты в странах-эмитентах – большое значение приобретают клады, найденные в этих странах. Их изучение путем анализа хронологического, династийного и состава монетных дворов позволяет существенно прояснить наши знания о денежном обращении на территории Восточной и Северной Европы.</w:t>
      </w:r>
    </w:p>
    <w:p w14:paraId="4D2B5C70" w14:textId="77777777" w:rsidR="00CD484C" w:rsidRDefault="00CD484C">
      <w:pPr>
        <w:ind w:firstLine="397"/>
        <w:jc w:val="both"/>
        <w:rPr>
          <w:color w:val="000000"/>
          <w:sz w:val="20"/>
          <w:szCs w:val="16"/>
        </w:rPr>
      </w:pPr>
      <w:r>
        <w:rPr>
          <w:color w:val="000000"/>
          <w:sz w:val="20"/>
          <w:szCs w:val="16"/>
        </w:rPr>
        <w:t>Монетно-вещевой клад, найденный на городище Абрлыга (Ташкентской обл.) в 1976 г. (Кочнев Б.Д., 1996. – С. 12, № 9) содержит золотые и серебряные украшения, 144 целых и фрагментированных дирхемов (около половины – обломки). /Табл. 3/.</w:t>
      </w:r>
    </w:p>
    <w:p w14:paraId="13861619" w14:textId="77777777" w:rsidR="00CD484C" w:rsidRDefault="00CD484C">
      <w:pPr>
        <w:ind w:firstLine="397"/>
        <w:jc w:val="both"/>
        <w:rPr>
          <w:color w:val="000000"/>
          <w:sz w:val="20"/>
          <w:szCs w:val="16"/>
        </w:rPr>
      </w:pPr>
    </w:p>
    <w:p w14:paraId="1A0A75A8" w14:textId="77777777" w:rsidR="00CD484C" w:rsidRDefault="00CD484C">
      <w:pPr>
        <w:ind w:firstLine="397"/>
        <w:jc w:val="right"/>
        <w:rPr>
          <w:i/>
          <w:iCs/>
          <w:sz w:val="20"/>
          <w:szCs w:val="16"/>
        </w:rPr>
      </w:pPr>
      <w:r>
        <w:rPr>
          <w:i/>
          <w:iCs/>
          <w:sz w:val="20"/>
          <w:szCs w:val="16"/>
        </w:rPr>
        <w:t xml:space="preserve">Таблица 3 </w:t>
      </w:r>
    </w:p>
    <w:p w14:paraId="1E5066D4" w14:textId="77777777" w:rsidR="00CD484C" w:rsidRDefault="00CD484C">
      <w:pPr>
        <w:spacing w:after="120"/>
        <w:jc w:val="center"/>
        <w:rPr>
          <w:b/>
          <w:bCs/>
          <w:sz w:val="20"/>
          <w:szCs w:val="16"/>
        </w:rPr>
      </w:pPr>
      <w:r>
        <w:rPr>
          <w:b/>
          <w:bCs/>
          <w:sz w:val="20"/>
          <w:szCs w:val="16"/>
        </w:rPr>
        <w:t>Эмиссионное распределение клада Абрлыга (по Б.Д. Кочневу)</w:t>
      </w:r>
      <w:r>
        <w:rPr>
          <w:rStyle w:val="a6"/>
          <w:b/>
          <w:bCs/>
          <w:sz w:val="20"/>
          <w:szCs w:val="16"/>
        </w:rPr>
        <w:footnoteReference w:customMarkFollows="1" w:id="86"/>
        <w:t>10</w:t>
      </w:r>
    </w:p>
    <w:tbl>
      <w:tblPr>
        <w:tblW w:w="5000" w:type="pct"/>
        <w:jc w:val="center"/>
        <w:tblBorders>
          <w:top w:val="dashSmallGap" w:sz="4" w:space="0" w:color="auto"/>
          <w:left w:val="dashSmallGap" w:sz="4" w:space="0" w:color="auto"/>
          <w:bottom w:val="dashSmallGap" w:sz="4" w:space="0" w:color="auto"/>
          <w:right w:val="dashSmallGap" w:sz="4" w:space="0" w:color="auto"/>
        </w:tblBorders>
        <w:tblCellMar>
          <w:left w:w="30" w:type="dxa"/>
          <w:right w:w="30" w:type="dxa"/>
        </w:tblCellMar>
        <w:tblLook w:val="0000" w:firstRow="0" w:lastRow="0" w:firstColumn="0" w:lastColumn="0" w:noHBand="0" w:noVBand="0"/>
      </w:tblPr>
      <w:tblGrid>
        <w:gridCol w:w="939"/>
        <w:gridCol w:w="735"/>
        <w:gridCol w:w="727"/>
        <w:gridCol w:w="727"/>
        <w:gridCol w:w="727"/>
        <w:gridCol w:w="727"/>
        <w:gridCol w:w="727"/>
        <w:gridCol w:w="1088"/>
      </w:tblGrid>
      <w:tr w:rsidR="00CD484C" w14:paraId="6B4ED6E7" w14:textId="77777777">
        <w:trPr>
          <w:trHeight w:val="277"/>
          <w:jc w:val="center"/>
        </w:trPr>
        <w:tc>
          <w:tcPr>
            <w:tcW w:w="735" w:type="pct"/>
            <w:shd w:val="pct20" w:color="000000" w:fill="FFFFFF"/>
            <w:vAlign w:val="center"/>
          </w:tcPr>
          <w:p w14:paraId="0D85A0B8" w14:textId="77777777" w:rsidR="00CD484C" w:rsidRDefault="00CD484C">
            <w:pPr>
              <w:ind w:firstLine="397"/>
              <w:jc w:val="both"/>
              <w:rPr>
                <w:b/>
                <w:sz w:val="18"/>
                <w:szCs w:val="16"/>
              </w:rPr>
            </w:pPr>
          </w:p>
        </w:tc>
        <w:tc>
          <w:tcPr>
            <w:tcW w:w="569" w:type="pct"/>
            <w:shd w:val="pct20" w:color="000000" w:fill="FFFFFF"/>
            <w:vAlign w:val="center"/>
          </w:tcPr>
          <w:p w14:paraId="5A73742E" w14:textId="77777777" w:rsidR="00CD484C" w:rsidRDefault="00CD484C">
            <w:pPr>
              <w:jc w:val="center"/>
              <w:rPr>
                <w:b/>
                <w:sz w:val="18"/>
                <w:szCs w:val="16"/>
              </w:rPr>
            </w:pPr>
            <w:r>
              <w:rPr>
                <w:b/>
                <w:sz w:val="18"/>
                <w:szCs w:val="16"/>
              </w:rPr>
              <w:t>929</w:t>
            </w:r>
          </w:p>
        </w:tc>
        <w:tc>
          <w:tcPr>
            <w:tcW w:w="569" w:type="pct"/>
            <w:shd w:val="pct20" w:color="000000" w:fill="FFFFFF"/>
            <w:vAlign w:val="center"/>
          </w:tcPr>
          <w:p w14:paraId="1A3CF18A" w14:textId="77777777" w:rsidR="00CD484C" w:rsidRDefault="00CD484C">
            <w:pPr>
              <w:jc w:val="center"/>
              <w:rPr>
                <w:b/>
                <w:sz w:val="18"/>
                <w:szCs w:val="16"/>
              </w:rPr>
            </w:pPr>
            <w:r>
              <w:rPr>
                <w:b/>
                <w:sz w:val="18"/>
                <w:szCs w:val="16"/>
              </w:rPr>
              <w:t>939</w:t>
            </w:r>
          </w:p>
        </w:tc>
        <w:tc>
          <w:tcPr>
            <w:tcW w:w="569" w:type="pct"/>
            <w:shd w:val="pct20" w:color="000000" w:fill="FFFFFF"/>
            <w:vAlign w:val="center"/>
          </w:tcPr>
          <w:p w14:paraId="2F0AF308" w14:textId="77777777" w:rsidR="00CD484C" w:rsidRDefault="00CD484C">
            <w:pPr>
              <w:jc w:val="center"/>
              <w:rPr>
                <w:b/>
                <w:sz w:val="18"/>
                <w:szCs w:val="16"/>
              </w:rPr>
            </w:pPr>
            <w:r>
              <w:rPr>
                <w:b/>
                <w:sz w:val="18"/>
                <w:szCs w:val="16"/>
              </w:rPr>
              <w:t>949</w:t>
            </w:r>
          </w:p>
        </w:tc>
        <w:tc>
          <w:tcPr>
            <w:tcW w:w="569" w:type="pct"/>
            <w:shd w:val="pct20" w:color="000000" w:fill="FFFFFF"/>
            <w:vAlign w:val="center"/>
          </w:tcPr>
          <w:p w14:paraId="521A40B6" w14:textId="77777777" w:rsidR="00CD484C" w:rsidRDefault="00CD484C">
            <w:pPr>
              <w:jc w:val="center"/>
              <w:rPr>
                <w:b/>
                <w:sz w:val="18"/>
                <w:szCs w:val="16"/>
              </w:rPr>
            </w:pPr>
            <w:r>
              <w:rPr>
                <w:b/>
                <w:sz w:val="18"/>
                <w:szCs w:val="16"/>
              </w:rPr>
              <w:t>959</w:t>
            </w:r>
          </w:p>
        </w:tc>
        <w:tc>
          <w:tcPr>
            <w:tcW w:w="569" w:type="pct"/>
            <w:shd w:val="pct20" w:color="000000" w:fill="FFFFFF"/>
            <w:vAlign w:val="center"/>
          </w:tcPr>
          <w:p w14:paraId="543178E8" w14:textId="77777777" w:rsidR="00CD484C" w:rsidRDefault="00CD484C">
            <w:pPr>
              <w:jc w:val="center"/>
              <w:rPr>
                <w:b/>
                <w:sz w:val="18"/>
                <w:szCs w:val="16"/>
              </w:rPr>
            </w:pPr>
            <w:r>
              <w:rPr>
                <w:b/>
                <w:sz w:val="18"/>
                <w:szCs w:val="16"/>
              </w:rPr>
              <w:t>969</w:t>
            </w:r>
          </w:p>
        </w:tc>
        <w:tc>
          <w:tcPr>
            <w:tcW w:w="569" w:type="pct"/>
            <w:shd w:val="pct20" w:color="000000" w:fill="FFFFFF"/>
            <w:vAlign w:val="center"/>
          </w:tcPr>
          <w:p w14:paraId="08F8409D" w14:textId="77777777" w:rsidR="00CD484C" w:rsidRDefault="00CD484C">
            <w:pPr>
              <w:jc w:val="center"/>
              <w:rPr>
                <w:b/>
                <w:sz w:val="18"/>
                <w:szCs w:val="16"/>
              </w:rPr>
            </w:pPr>
            <w:r>
              <w:rPr>
                <w:b/>
                <w:sz w:val="18"/>
                <w:szCs w:val="16"/>
              </w:rPr>
              <w:t>979</w:t>
            </w:r>
          </w:p>
        </w:tc>
        <w:tc>
          <w:tcPr>
            <w:tcW w:w="853" w:type="pct"/>
            <w:shd w:val="pct20" w:color="000000" w:fill="FFFFFF"/>
            <w:vAlign w:val="center"/>
          </w:tcPr>
          <w:p w14:paraId="36D382D4" w14:textId="77777777" w:rsidR="00CD484C" w:rsidRDefault="00CD484C">
            <w:pPr>
              <w:jc w:val="center"/>
              <w:rPr>
                <w:b/>
                <w:sz w:val="18"/>
                <w:szCs w:val="16"/>
              </w:rPr>
            </w:pPr>
            <w:r>
              <w:rPr>
                <w:b/>
                <w:sz w:val="18"/>
                <w:szCs w:val="16"/>
              </w:rPr>
              <w:t>991</w:t>
            </w:r>
          </w:p>
        </w:tc>
      </w:tr>
      <w:tr w:rsidR="00CD484C" w14:paraId="78B67B3F" w14:textId="77777777">
        <w:trPr>
          <w:jc w:val="center"/>
        </w:trPr>
        <w:tc>
          <w:tcPr>
            <w:tcW w:w="735" w:type="pct"/>
            <w:shd w:val="pct5" w:color="000000" w:fill="FFFFFF"/>
            <w:vAlign w:val="center"/>
          </w:tcPr>
          <w:p w14:paraId="4A975E98" w14:textId="77777777" w:rsidR="00CD484C" w:rsidRDefault="00CD484C">
            <w:pPr>
              <w:spacing w:line="360" w:lineRule="auto"/>
              <w:jc w:val="both"/>
              <w:rPr>
                <w:sz w:val="18"/>
                <w:szCs w:val="16"/>
              </w:rPr>
            </w:pPr>
            <w:r>
              <w:rPr>
                <w:sz w:val="18"/>
                <w:szCs w:val="16"/>
              </w:rPr>
              <w:t xml:space="preserve">Самарканд </w:t>
            </w:r>
          </w:p>
        </w:tc>
        <w:tc>
          <w:tcPr>
            <w:tcW w:w="569" w:type="pct"/>
            <w:shd w:val="pct5" w:color="000000" w:fill="FFFFFF"/>
            <w:vAlign w:val="center"/>
          </w:tcPr>
          <w:p w14:paraId="2C14BEAB" w14:textId="77777777" w:rsidR="00CD484C" w:rsidRDefault="00CD484C">
            <w:pPr>
              <w:spacing w:line="360" w:lineRule="auto"/>
              <w:jc w:val="center"/>
              <w:rPr>
                <w:sz w:val="18"/>
                <w:szCs w:val="16"/>
              </w:rPr>
            </w:pPr>
            <w:r>
              <w:rPr>
                <w:sz w:val="18"/>
                <w:szCs w:val="16"/>
              </w:rPr>
              <w:t>1(1,3%)</w:t>
            </w:r>
          </w:p>
        </w:tc>
        <w:tc>
          <w:tcPr>
            <w:tcW w:w="569" w:type="pct"/>
            <w:shd w:val="pct5" w:color="000000" w:fill="FFFFFF"/>
            <w:vAlign w:val="center"/>
          </w:tcPr>
          <w:p w14:paraId="32E36A9B" w14:textId="77777777" w:rsidR="00CD484C" w:rsidRDefault="00CD484C">
            <w:pPr>
              <w:spacing w:line="360" w:lineRule="auto"/>
              <w:jc w:val="center"/>
              <w:rPr>
                <w:sz w:val="18"/>
                <w:szCs w:val="16"/>
              </w:rPr>
            </w:pPr>
          </w:p>
        </w:tc>
        <w:tc>
          <w:tcPr>
            <w:tcW w:w="569" w:type="pct"/>
            <w:shd w:val="pct5" w:color="000000" w:fill="FFFFFF"/>
            <w:vAlign w:val="center"/>
          </w:tcPr>
          <w:p w14:paraId="597D96E5" w14:textId="77777777" w:rsidR="00CD484C" w:rsidRDefault="00CD484C">
            <w:pPr>
              <w:spacing w:line="360" w:lineRule="auto"/>
              <w:jc w:val="center"/>
              <w:rPr>
                <w:sz w:val="18"/>
                <w:szCs w:val="16"/>
              </w:rPr>
            </w:pPr>
          </w:p>
        </w:tc>
        <w:tc>
          <w:tcPr>
            <w:tcW w:w="569" w:type="pct"/>
            <w:shd w:val="pct5" w:color="000000" w:fill="FFFFFF"/>
            <w:vAlign w:val="center"/>
          </w:tcPr>
          <w:p w14:paraId="4212C02F" w14:textId="77777777" w:rsidR="00CD484C" w:rsidRDefault="00CD484C">
            <w:pPr>
              <w:spacing w:line="360" w:lineRule="auto"/>
              <w:jc w:val="center"/>
              <w:rPr>
                <w:sz w:val="18"/>
                <w:szCs w:val="16"/>
              </w:rPr>
            </w:pPr>
            <w:r>
              <w:rPr>
                <w:sz w:val="18"/>
                <w:szCs w:val="16"/>
              </w:rPr>
              <w:t>1(1,3%)</w:t>
            </w:r>
          </w:p>
        </w:tc>
        <w:tc>
          <w:tcPr>
            <w:tcW w:w="569" w:type="pct"/>
            <w:shd w:val="pct5" w:color="000000" w:fill="FFFFFF"/>
            <w:vAlign w:val="center"/>
          </w:tcPr>
          <w:p w14:paraId="6463A19D" w14:textId="77777777" w:rsidR="00CD484C" w:rsidRDefault="00CD484C">
            <w:pPr>
              <w:spacing w:line="360" w:lineRule="auto"/>
              <w:jc w:val="center"/>
              <w:rPr>
                <w:sz w:val="18"/>
                <w:szCs w:val="16"/>
              </w:rPr>
            </w:pPr>
          </w:p>
        </w:tc>
        <w:tc>
          <w:tcPr>
            <w:tcW w:w="569" w:type="pct"/>
            <w:shd w:val="pct5" w:color="000000" w:fill="FFFFFF"/>
            <w:vAlign w:val="center"/>
          </w:tcPr>
          <w:p w14:paraId="5D3BFC5E" w14:textId="77777777" w:rsidR="00CD484C" w:rsidRDefault="00CD484C">
            <w:pPr>
              <w:spacing w:line="360" w:lineRule="auto"/>
              <w:jc w:val="center"/>
              <w:rPr>
                <w:sz w:val="18"/>
                <w:szCs w:val="16"/>
              </w:rPr>
            </w:pPr>
            <w:r>
              <w:rPr>
                <w:sz w:val="18"/>
                <w:szCs w:val="16"/>
              </w:rPr>
              <w:t>1(1,3%)</w:t>
            </w:r>
          </w:p>
        </w:tc>
        <w:tc>
          <w:tcPr>
            <w:tcW w:w="853" w:type="pct"/>
            <w:shd w:val="pct5" w:color="000000" w:fill="FFFFFF"/>
            <w:vAlign w:val="center"/>
          </w:tcPr>
          <w:p w14:paraId="614D9769" w14:textId="77777777" w:rsidR="00CD484C" w:rsidRDefault="00CD484C">
            <w:pPr>
              <w:spacing w:line="360" w:lineRule="auto"/>
              <w:jc w:val="center"/>
              <w:rPr>
                <w:sz w:val="18"/>
                <w:szCs w:val="16"/>
              </w:rPr>
            </w:pPr>
            <w:r>
              <w:rPr>
                <w:sz w:val="18"/>
                <w:szCs w:val="16"/>
              </w:rPr>
              <w:t>16(20,8%)</w:t>
            </w:r>
          </w:p>
        </w:tc>
      </w:tr>
      <w:tr w:rsidR="00CD484C" w14:paraId="286E1126" w14:textId="77777777">
        <w:trPr>
          <w:jc w:val="center"/>
        </w:trPr>
        <w:tc>
          <w:tcPr>
            <w:tcW w:w="735" w:type="pct"/>
            <w:shd w:val="pct20" w:color="000000" w:fill="FFFFFF"/>
            <w:vAlign w:val="center"/>
          </w:tcPr>
          <w:p w14:paraId="0BA31381" w14:textId="77777777" w:rsidR="00CD484C" w:rsidRDefault="00CD484C">
            <w:pPr>
              <w:spacing w:line="360" w:lineRule="auto"/>
              <w:jc w:val="both"/>
              <w:rPr>
                <w:sz w:val="18"/>
                <w:szCs w:val="16"/>
              </w:rPr>
            </w:pPr>
            <w:r>
              <w:rPr>
                <w:sz w:val="18"/>
                <w:szCs w:val="16"/>
              </w:rPr>
              <w:t>Шаш</w:t>
            </w:r>
          </w:p>
        </w:tc>
        <w:tc>
          <w:tcPr>
            <w:tcW w:w="569" w:type="pct"/>
            <w:shd w:val="pct20" w:color="000000" w:fill="FFFFFF"/>
            <w:vAlign w:val="center"/>
          </w:tcPr>
          <w:p w14:paraId="0A2FF9D5" w14:textId="77777777" w:rsidR="00CD484C" w:rsidRDefault="00CD484C">
            <w:pPr>
              <w:spacing w:line="360" w:lineRule="auto"/>
              <w:jc w:val="center"/>
              <w:rPr>
                <w:sz w:val="18"/>
                <w:szCs w:val="16"/>
              </w:rPr>
            </w:pPr>
            <w:r>
              <w:rPr>
                <w:sz w:val="18"/>
                <w:szCs w:val="16"/>
              </w:rPr>
              <w:t>9(11,7%)</w:t>
            </w:r>
          </w:p>
        </w:tc>
        <w:tc>
          <w:tcPr>
            <w:tcW w:w="569" w:type="pct"/>
            <w:shd w:val="pct20" w:color="000000" w:fill="FFFFFF"/>
            <w:vAlign w:val="center"/>
          </w:tcPr>
          <w:p w14:paraId="6D901C2B" w14:textId="77777777" w:rsidR="00CD484C" w:rsidRDefault="00CD484C">
            <w:pPr>
              <w:spacing w:line="360" w:lineRule="auto"/>
              <w:jc w:val="center"/>
              <w:rPr>
                <w:sz w:val="18"/>
                <w:szCs w:val="16"/>
              </w:rPr>
            </w:pPr>
            <w:r>
              <w:rPr>
                <w:sz w:val="18"/>
                <w:szCs w:val="16"/>
              </w:rPr>
              <w:t>1(1,3%)</w:t>
            </w:r>
          </w:p>
        </w:tc>
        <w:tc>
          <w:tcPr>
            <w:tcW w:w="569" w:type="pct"/>
            <w:shd w:val="pct20" w:color="000000" w:fill="FFFFFF"/>
            <w:vAlign w:val="center"/>
          </w:tcPr>
          <w:p w14:paraId="4C959BE0" w14:textId="77777777" w:rsidR="00CD484C" w:rsidRDefault="00CD484C">
            <w:pPr>
              <w:spacing w:line="360" w:lineRule="auto"/>
              <w:jc w:val="center"/>
              <w:rPr>
                <w:sz w:val="18"/>
                <w:szCs w:val="16"/>
              </w:rPr>
            </w:pPr>
            <w:r>
              <w:rPr>
                <w:sz w:val="18"/>
                <w:szCs w:val="16"/>
              </w:rPr>
              <w:t>1(1,3%)</w:t>
            </w:r>
          </w:p>
        </w:tc>
        <w:tc>
          <w:tcPr>
            <w:tcW w:w="569" w:type="pct"/>
            <w:shd w:val="pct20" w:color="000000" w:fill="FFFFFF"/>
            <w:vAlign w:val="center"/>
          </w:tcPr>
          <w:p w14:paraId="2289BCC4" w14:textId="77777777" w:rsidR="00CD484C" w:rsidRDefault="00CD484C">
            <w:pPr>
              <w:spacing w:line="360" w:lineRule="auto"/>
              <w:jc w:val="center"/>
              <w:rPr>
                <w:sz w:val="18"/>
                <w:szCs w:val="16"/>
              </w:rPr>
            </w:pPr>
          </w:p>
        </w:tc>
        <w:tc>
          <w:tcPr>
            <w:tcW w:w="569" w:type="pct"/>
            <w:shd w:val="pct20" w:color="000000" w:fill="FFFFFF"/>
            <w:vAlign w:val="center"/>
          </w:tcPr>
          <w:p w14:paraId="191B5D42" w14:textId="77777777" w:rsidR="00CD484C" w:rsidRDefault="00CD484C">
            <w:pPr>
              <w:spacing w:line="360" w:lineRule="auto"/>
              <w:jc w:val="center"/>
              <w:rPr>
                <w:sz w:val="18"/>
                <w:szCs w:val="16"/>
              </w:rPr>
            </w:pPr>
          </w:p>
        </w:tc>
        <w:tc>
          <w:tcPr>
            <w:tcW w:w="569" w:type="pct"/>
            <w:shd w:val="pct20" w:color="000000" w:fill="FFFFFF"/>
            <w:vAlign w:val="center"/>
          </w:tcPr>
          <w:p w14:paraId="49D56D57" w14:textId="77777777" w:rsidR="00CD484C" w:rsidRDefault="00CD484C">
            <w:pPr>
              <w:spacing w:line="360" w:lineRule="auto"/>
              <w:jc w:val="center"/>
              <w:rPr>
                <w:sz w:val="18"/>
                <w:szCs w:val="16"/>
              </w:rPr>
            </w:pPr>
            <w:r>
              <w:rPr>
                <w:sz w:val="18"/>
                <w:szCs w:val="16"/>
              </w:rPr>
              <w:t>2(2,5%)</w:t>
            </w:r>
          </w:p>
        </w:tc>
        <w:tc>
          <w:tcPr>
            <w:tcW w:w="853" w:type="pct"/>
            <w:shd w:val="pct20" w:color="000000" w:fill="FFFFFF"/>
            <w:vAlign w:val="center"/>
          </w:tcPr>
          <w:p w14:paraId="1BD07D92" w14:textId="77777777" w:rsidR="00CD484C" w:rsidRDefault="00CD484C">
            <w:pPr>
              <w:spacing w:line="360" w:lineRule="auto"/>
              <w:jc w:val="center"/>
              <w:rPr>
                <w:sz w:val="18"/>
                <w:szCs w:val="16"/>
              </w:rPr>
            </w:pPr>
            <w:r>
              <w:rPr>
                <w:sz w:val="18"/>
                <w:szCs w:val="16"/>
              </w:rPr>
              <w:t>13(16,9%)</w:t>
            </w:r>
          </w:p>
        </w:tc>
      </w:tr>
      <w:tr w:rsidR="00CD484C" w14:paraId="473F2C94" w14:textId="77777777">
        <w:trPr>
          <w:jc w:val="center"/>
        </w:trPr>
        <w:tc>
          <w:tcPr>
            <w:tcW w:w="735" w:type="pct"/>
            <w:shd w:val="pct5" w:color="000000" w:fill="FFFFFF"/>
            <w:vAlign w:val="center"/>
          </w:tcPr>
          <w:p w14:paraId="2194A0BE" w14:textId="77777777" w:rsidR="00CD484C" w:rsidRDefault="00CD484C">
            <w:pPr>
              <w:spacing w:line="360" w:lineRule="auto"/>
              <w:jc w:val="both"/>
              <w:rPr>
                <w:sz w:val="18"/>
                <w:szCs w:val="16"/>
              </w:rPr>
            </w:pPr>
            <w:r>
              <w:rPr>
                <w:sz w:val="18"/>
                <w:szCs w:val="16"/>
              </w:rPr>
              <w:t>Рашт</w:t>
            </w:r>
          </w:p>
        </w:tc>
        <w:tc>
          <w:tcPr>
            <w:tcW w:w="569" w:type="pct"/>
            <w:shd w:val="pct5" w:color="000000" w:fill="FFFFFF"/>
            <w:vAlign w:val="center"/>
          </w:tcPr>
          <w:p w14:paraId="5DE76CDE" w14:textId="77777777" w:rsidR="00CD484C" w:rsidRDefault="00CD484C">
            <w:pPr>
              <w:spacing w:line="360" w:lineRule="auto"/>
              <w:jc w:val="center"/>
              <w:rPr>
                <w:sz w:val="18"/>
                <w:szCs w:val="16"/>
              </w:rPr>
            </w:pPr>
          </w:p>
        </w:tc>
        <w:tc>
          <w:tcPr>
            <w:tcW w:w="569" w:type="pct"/>
            <w:shd w:val="pct5" w:color="000000" w:fill="FFFFFF"/>
            <w:vAlign w:val="center"/>
          </w:tcPr>
          <w:p w14:paraId="1248644E" w14:textId="77777777" w:rsidR="00CD484C" w:rsidRDefault="00CD484C">
            <w:pPr>
              <w:spacing w:line="360" w:lineRule="auto"/>
              <w:jc w:val="center"/>
              <w:rPr>
                <w:sz w:val="18"/>
                <w:szCs w:val="16"/>
              </w:rPr>
            </w:pPr>
          </w:p>
        </w:tc>
        <w:tc>
          <w:tcPr>
            <w:tcW w:w="569" w:type="pct"/>
            <w:shd w:val="pct5" w:color="000000" w:fill="FFFFFF"/>
            <w:vAlign w:val="center"/>
          </w:tcPr>
          <w:p w14:paraId="7E3CCE23" w14:textId="77777777" w:rsidR="00CD484C" w:rsidRDefault="00CD484C">
            <w:pPr>
              <w:spacing w:line="360" w:lineRule="auto"/>
              <w:jc w:val="center"/>
              <w:rPr>
                <w:sz w:val="18"/>
                <w:szCs w:val="16"/>
              </w:rPr>
            </w:pPr>
          </w:p>
        </w:tc>
        <w:tc>
          <w:tcPr>
            <w:tcW w:w="569" w:type="pct"/>
            <w:shd w:val="pct5" w:color="000000" w:fill="FFFFFF"/>
            <w:vAlign w:val="center"/>
          </w:tcPr>
          <w:p w14:paraId="7DBD11B1" w14:textId="77777777" w:rsidR="00CD484C" w:rsidRDefault="00CD484C">
            <w:pPr>
              <w:spacing w:line="360" w:lineRule="auto"/>
              <w:jc w:val="center"/>
              <w:rPr>
                <w:sz w:val="18"/>
                <w:szCs w:val="16"/>
              </w:rPr>
            </w:pPr>
          </w:p>
        </w:tc>
        <w:tc>
          <w:tcPr>
            <w:tcW w:w="569" w:type="pct"/>
            <w:shd w:val="pct5" w:color="000000" w:fill="FFFFFF"/>
            <w:vAlign w:val="center"/>
          </w:tcPr>
          <w:p w14:paraId="595CB29A" w14:textId="77777777" w:rsidR="00CD484C" w:rsidRDefault="00CD484C">
            <w:pPr>
              <w:spacing w:line="360" w:lineRule="auto"/>
              <w:jc w:val="center"/>
              <w:rPr>
                <w:sz w:val="18"/>
                <w:szCs w:val="16"/>
              </w:rPr>
            </w:pPr>
          </w:p>
        </w:tc>
        <w:tc>
          <w:tcPr>
            <w:tcW w:w="569" w:type="pct"/>
            <w:shd w:val="pct5" w:color="000000" w:fill="FFFFFF"/>
            <w:vAlign w:val="center"/>
          </w:tcPr>
          <w:p w14:paraId="543CAF29" w14:textId="77777777" w:rsidR="00CD484C" w:rsidRDefault="00CD484C">
            <w:pPr>
              <w:spacing w:line="360" w:lineRule="auto"/>
              <w:jc w:val="center"/>
              <w:rPr>
                <w:sz w:val="18"/>
                <w:szCs w:val="16"/>
              </w:rPr>
            </w:pPr>
            <w:r>
              <w:rPr>
                <w:sz w:val="18"/>
                <w:szCs w:val="16"/>
              </w:rPr>
              <w:t>2(2,5%)</w:t>
            </w:r>
          </w:p>
        </w:tc>
        <w:tc>
          <w:tcPr>
            <w:tcW w:w="853" w:type="pct"/>
            <w:shd w:val="pct5" w:color="000000" w:fill="FFFFFF"/>
            <w:vAlign w:val="center"/>
          </w:tcPr>
          <w:p w14:paraId="3718A358" w14:textId="77777777" w:rsidR="00CD484C" w:rsidRDefault="00CD484C">
            <w:pPr>
              <w:spacing w:line="360" w:lineRule="auto"/>
              <w:jc w:val="center"/>
              <w:rPr>
                <w:sz w:val="18"/>
                <w:szCs w:val="16"/>
              </w:rPr>
            </w:pPr>
          </w:p>
        </w:tc>
      </w:tr>
      <w:tr w:rsidR="00CD484C" w14:paraId="2FCF3964" w14:textId="77777777">
        <w:trPr>
          <w:jc w:val="center"/>
        </w:trPr>
        <w:tc>
          <w:tcPr>
            <w:tcW w:w="735" w:type="pct"/>
            <w:shd w:val="pct20" w:color="000000" w:fill="FFFFFF"/>
            <w:vAlign w:val="center"/>
          </w:tcPr>
          <w:p w14:paraId="5D9DF9CA" w14:textId="77777777" w:rsidR="00CD484C" w:rsidRDefault="00CD484C">
            <w:pPr>
              <w:spacing w:line="360" w:lineRule="auto"/>
              <w:jc w:val="both"/>
              <w:rPr>
                <w:sz w:val="18"/>
                <w:szCs w:val="16"/>
              </w:rPr>
            </w:pPr>
            <w:r>
              <w:rPr>
                <w:sz w:val="18"/>
                <w:szCs w:val="16"/>
              </w:rPr>
              <w:t>Бухара</w:t>
            </w:r>
          </w:p>
        </w:tc>
        <w:tc>
          <w:tcPr>
            <w:tcW w:w="569" w:type="pct"/>
            <w:shd w:val="pct20" w:color="000000" w:fill="FFFFFF"/>
            <w:vAlign w:val="center"/>
          </w:tcPr>
          <w:p w14:paraId="108493ED" w14:textId="77777777" w:rsidR="00CD484C" w:rsidRDefault="00CD484C">
            <w:pPr>
              <w:spacing w:line="360" w:lineRule="auto"/>
              <w:jc w:val="center"/>
              <w:rPr>
                <w:sz w:val="18"/>
                <w:szCs w:val="16"/>
              </w:rPr>
            </w:pPr>
          </w:p>
        </w:tc>
        <w:tc>
          <w:tcPr>
            <w:tcW w:w="569" w:type="pct"/>
            <w:shd w:val="pct20" w:color="000000" w:fill="FFFFFF"/>
            <w:vAlign w:val="center"/>
          </w:tcPr>
          <w:p w14:paraId="492BA0E5" w14:textId="77777777" w:rsidR="00CD484C" w:rsidRDefault="00CD484C">
            <w:pPr>
              <w:spacing w:line="360" w:lineRule="auto"/>
              <w:jc w:val="center"/>
              <w:rPr>
                <w:sz w:val="18"/>
                <w:szCs w:val="16"/>
              </w:rPr>
            </w:pPr>
          </w:p>
        </w:tc>
        <w:tc>
          <w:tcPr>
            <w:tcW w:w="569" w:type="pct"/>
            <w:shd w:val="pct20" w:color="000000" w:fill="FFFFFF"/>
            <w:vAlign w:val="center"/>
          </w:tcPr>
          <w:p w14:paraId="29C85B11" w14:textId="77777777" w:rsidR="00CD484C" w:rsidRDefault="00CD484C">
            <w:pPr>
              <w:spacing w:line="360" w:lineRule="auto"/>
              <w:jc w:val="center"/>
              <w:rPr>
                <w:sz w:val="18"/>
                <w:szCs w:val="16"/>
              </w:rPr>
            </w:pPr>
          </w:p>
        </w:tc>
        <w:tc>
          <w:tcPr>
            <w:tcW w:w="569" w:type="pct"/>
            <w:shd w:val="pct20" w:color="000000" w:fill="FFFFFF"/>
            <w:vAlign w:val="center"/>
          </w:tcPr>
          <w:p w14:paraId="065A67E8" w14:textId="77777777" w:rsidR="00CD484C" w:rsidRDefault="00CD484C">
            <w:pPr>
              <w:spacing w:line="360" w:lineRule="auto"/>
              <w:jc w:val="center"/>
              <w:rPr>
                <w:sz w:val="18"/>
                <w:szCs w:val="16"/>
              </w:rPr>
            </w:pPr>
          </w:p>
        </w:tc>
        <w:tc>
          <w:tcPr>
            <w:tcW w:w="569" w:type="pct"/>
            <w:shd w:val="pct20" w:color="000000" w:fill="FFFFFF"/>
            <w:vAlign w:val="center"/>
          </w:tcPr>
          <w:p w14:paraId="5550E2C2" w14:textId="77777777" w:rsidR="00CD484C" w:rsidRDefault="00CD484C">
            <w:pPr>
              <w:spacing w:line="360" w:lineRule="auto"/>
              <w:jc w:val="center"/>
              <w:rPr>
                <w:sz w:val="18"/>
                <w:szCs w:val="16"/>
              </w:rPr>
            </w:pPr>
          </w:p>
        </w:tc>
        <w:tc>
          <w:tcPr>
            <w:tcW w:w="569" w:type="pct"/>
            <w:shd w:val="pct20" w:color="000000" w:fill="FFFFFF"/>
            <w:vAlign w:val="center"/>
          </w:tcPr>
          <w:p w14:paraId="1B17FE27" w14:textId="77777777" w:rsidR="00CD484C" w:rsidRDefault="00CD484C">
            <w:pPr>
              <w:spacing w:line="360" w:lineRule="auto"/>
              <w:jc w:val="center"/>
              <w:rPr>
                <w:sz w:val="18"/>
                <w:szCs w:val="16"/>
              </w:rPr>
            </w:pPr>
          </w:p>
        </w:tc>
        <w:tc>
          <w:tcPr>
            <w:tcW w:w="853" w:type="pct"/>
            <w:shd w:val="pct20" w:color="000000" w:fill="FFFFFF"/>
            <w:vAlign w:val="center"/>
          </w:tcPr>
          <w:p w14:paraId="027DD133" w14:textId="77777777" w:rsidR="00CD484C" w:rsidRDefault="00CD484C">
            <w:pPr>
              <w:spacing w:line="360" w:lineRule="auto"/>
              <w:jc w:val="center"/>
              <w:rPr>
                <w:sz w:val="18"/>
                <w:szCs w:val="16"/>
              </w:rPr>
            </w:pPr>
            <w:r>
              <w:rPr>
                <w:sz w:val="18"/>
                <w:szCs w:val="16"/>
              </w:rPr>
              <w:t>29(37,7%)</w:t>
            </w:r>
          </w:p>
        </w:tc>
      </w:tr>
      <w:tr w:rsidR="00CD484C" w14:paraId="75053E26" w14:textId="77777777">
        <w:trPr>
          <w:jc w:val="center"/>
        </w:trPr>
        <w:tc>
          <w:tcPr>
            <w:tcW w:w="735" w:type="pct"/>
            <w:shd w:val="pct5" w:color="000000" w:fill="FFFFFF"/>
            <w:vAlign w:val="center"/>
          </w:tcPr>
          <w:p w14:paraId="3BD97D15" w14:textId="77777777" w:rsidR="00CD484C" w:rsidRDefault="00CD484C">
            <w:pPr>
              <w:spacing w:line="360" w:lineRule="auto"/>
              <w:jc w:val="both"/>
              <w:rPr>
                <w:sz w:val="18"/>
                <w:szCs w:val="16"/>
              </w:rPr>
            </w:pPr>
            <w:r>
              <w:rPr>
                <w:sz w:val="18"/>
                <w:szCs w:val="16"/>
              </w:rPr>
              <w:t>Фергана</w:t>
            </w:r>
          </w:p>
        </w:tc>
        <w:tc>
          <w:tcPr>
            <w:tcW w:w="569" w:type="pct"/>
            <w:shd w:val="pct5" w:color="000000" w:fill="FFFFFF"/>
            <w:vAlign w:val="center"/>
          </w:tcPr>
          <w:p w14:paraId="21A0719D" w14:textId="77777777" w:rsidR="00CD484C" w:rsidRDefault="00CD484C">
            <w:pPr>
              <w:spacing w:line="360" w:lineRule="auto"/>
              <w:jc w:val="center"/>
              <w:rPr>
                <w:sz w:val="18"/>
                <w:szCs w:val="16"/>
              </w:rPr>
            </w:pPr>
          </w:p>
        </w:tc>
        <w:tc>
          <w:tcPr>
            <w:tcW w:w="569" w:type="pct"/>
            <w:shd w:val="pct5" w:color="000000" w:fill="FFFFFF"/>
            <w:vAlign w:val="center"/>
          </w:tcPr>
          <w:p w14:paraId="2333457D" w14:textId="77777777" w:rsidR="00CD484C" w:rsidRDefault="00CD484C">
            <w:pPr>
              <w:spacing w:line="360" w:lineRule="auto"/>
              <w:jc w:val="center"/>
              <w:rPr>
                <w:sz w:val="18"/>
                <w:szCs w:val="16"/>
              </w:rPr>
            </w:pPr>
          </w:p>
        </w:tc>
        <w:tc>
          <w:tcPr>
            <w:tcW w:w="569" w:type="pct"/>
            <w:shd w:val="pct5" w:color="000000" w:fill="FFFFFF"/>
            <w:vAlign w:val="center"/>
          </w:tcPr>
          <w:p w14:paraId="00FDA1C2" w14:textId="77777777" w:rsidR="00CD484C" w:rsidRDefault="00CD484C">
            <w:pPr>
              <w:spacing w:line="360" w:lineRule="auto"/>
              <w:jc w:val="center"/>
              <w:rPr>
                <w:sz w:val="18"/>
                <w:szCs w:val="16"/>
              </w:rPr>
            </w:pPr>
          </w:p>
        </w:tc>
        <w:tc>
          <w:tcPr>
            <w:tcW w:w="569" w:type="pct"/>
            <w:shd w:val="pct5" w:color="000000" w:fill="FFFFFF"/>
            <w:vAlign w:val="center"/>
          </w:tcPr>
          <w:p w14:paraId="1D333EAF" w14:textId="77777777" w:rsidR="00CD484C" w:rsidRDefault="00CD484C">
            <w:pPr>
              <w:spacing w:line="360" w:lineRule="auto"/>
              <w:jc w:val="center"/>
              <w:rPr>
                <w:sz w:val="18"/>
                <w:szCs w:val="16"/>
              </w:rPr>
            </w:pPr>
          </w:p>
        </w:tc>
        <w:tc>
          <w:tcPr>
            <w:tcW w:w="569" w:type="pct"/>
            <w:shd w:val="pct5" w:color="000000" w:fill="FFFFFF"/>
            <w:vAlign w:val="center"/>
          </w:tcPr>
          <w:p w14:paraId="51F883AF" w14:textId="77777777" w:rsidR="00CD484C" w:rsidRDefault="00CD484C">
            <w:pPr>
              <w:spacing w:line="360" w:lineRule="auto"/>
              <w:jc w:val="center"/>
              <w:rPr>
                <w:sz w:val="18"/>
                <w:szCs w:val="16"/>
              </w:rPr>
            </w:pPr>
          </w:p>
        </w:tc>
        <w:tc>
          <w:tcPr>
            <w:tcW w:w="569" w:type="pct"/>
            <w:shd w:val="pct5" w:color="000000" w:fill="FFFFFF"/>
            <w:vAlign w:val="center"/>
          </w:tcPr>
          <w:p w14:paraId="45E0BA30" w14:textId="77777777" w:rsidR="00CD484C" w:rsidRDefault="00CD484C">
            <w:pPr>
              <w:spacing w:line="360" w:lineRule="auto"/>
              <w:jc w:val="center"/>
              <w:rPr>
                <w:sz w:val="18"/>
                <w:szCs w:val="16"/>
              </w:rPr>
            </w:pPr>
          </w:p>
        </w:tc>
        <w:tc>
          <w:tcPr>
            <w:tcW w:w="853" w:type="pct"/>
            <w:shd w:val="pct5" w:color="000000" w:fill="FFFFFF"/>
            <w:vAlign w:val="center"/>
          </w:tcPr>
          <w:p w14:paraId="59538AEB" w14:textId="77777777" w:rsidR="00CD484C" w:rsidRDefault="00CD484C">
            <w:pPr>
              <w:spacing w:line="360" w:lineRule="auto"/>
              <w:jc w:val="center"/>
              <w:rPr>
                <w:sz w:val="18"/>
                <w:szCs w:val="16"/>
              </w:rPr>
            </w:pPr>
            <w:r>
              <w:rPr>
                <w:sz w:val="18"/>
                <w:szCs w:val="16"/>
              </w:rPr>
              <w:t>1(1,3%)</w:t>
            </w:r>
          </w:p>
        </w:tc>
      </w:tr>
      <w:tr w:rsidR="00CD484C" w14:paraId="7D3D0373" w14:textId="77777777">
        <w:trPr>
          <w:jc w:val="center"/>
        </w:trPr>
        <w:tc>
          <w:tcPr>
            <w:tcW w:w="735" w:type="pct"/>
            <w:shd w:val="pct20" w:color="000000" w:fill="FFFFFF"/>
            <w:vAlign w:val="center"/>
          </w:tcPr>
          <w:p w14:paraId="652E1D68" w14:textId="77777777" w:rsidR="00CD484C" w:rsidRDefault="00CD484C">
            <w:pPr>
              <w:spacing w:line="360" w:lineRule="auto"/>
              <w:jc w:val="both"/>
              <w:rPr>
                <w:sz w:val="18"/>
                <w:szCs w:val="16"/>
              </w:rPr>
            </w:pPr>
            <w:r>
              <w:rPr>
                <w:sz w:val="18"/>
                <w:szCs w:val="16"/>
              </w:rPr>
              <w:t>город -?</w:t>
            </w:r>
          </w:p>
        </w:tc>
        <w:tc>
          <w:tcPr>
            <w:tcW w:w="569" w:type="pct"/>
            <w:shd w:val="pct20" w:color="000000" w:fill="FFFFFF"/>
            <w:vAlign w:val="center"/>
          </w:tcPr>
          <w:p w14:paraId="352B044F" w14:textId="77777777" w:rsidR="00CD484C" w:rsidRDefault="00CD484C">
            <w:pPr>
              <w:spacing w:line="360" w:lineRule="auto"/>
              <w:jc w:val="center"/>
              <w:rPr>
                <w:sz w:val="18"/>
                <w:szCs w:val="16"/>
              </w:rPr>
            </w:pPr>
          </w:p>
        </w:tc>
        <w:tc>
          <w:tcPr>
            <w:tcW w:w="569" w:type="pct"/>
            <w:shd w:val="pct20" w:color="000000" w:fill="FFFFFF"/>
            <w:vAlign w:val="center"/>
          </w:tcPr>
          <w:p w14:paraId="4E512942" w14:textId="77777777" w:rsidR="00CD484C" w:rsidRDefault="00CD484C">
            <w:pPr>
              <w:spacing w:line="360" w:lineRule="auto"/>
              <w:jc w:val="center"/>
              <w:rPr>
                <w:sz w:val="18"/>
                <w:szCs w:val="16"/>
              </w:rPr>
            </w:pPr>
          </w:p>
        </w:tc>
        <w:tc>
          <w:tcPr>
            <w:tcW w:w="569" w:type="pct"/>
            <w:shd w:val="pct20" w:color="000000" w:fill="FFFFFF"/>
            <w:vAlign w:val="center"/>
          </w:tcPr>
          <w:p w14:paraId="1AA8ABA9" w14:textId="77777777" w:rsidR="00CD484C" w:rsidRDefault="00CD484C">
            <w:pPr>
              <w:spacing w:line="360" w:lineRule="auto"/>
              <w:jc w:val="center"/>
              <w:rPr>
                <w:sz w:val="18"/>
                <w:szCs w:val="16"/>
              </w:rPr>
            </w:pPr>
          </w:p>
        </w:tc>
        <w:tc>
          <w:tcPr>
            <w:tcW w:w="569" w:type="pct"/>
            <w:shd w:val="pct20" w:color="000000" w:fill="FFFFFF"/>
            <w:vAlign w:val="center"/>
          </w:tcPr>
          <w:p w14:paraId="53CE2E56" w14:textId="77777777" w:rsidR="00CD484C" w:rsidRDefault="00CD484C">
            <w:pPr>
              <w:spacing w:line="360" w:lineRule="auto"/>
              <w:jc w:val="center"/>
              <w:rPr>
                <w:sz w:val="18"/>
                <w:szCs w:val="16"/>
              </w:rPr>
            </w:pPr>
          </w:p>
        </w:tc>
        <w:tc>
          <w:tcPr>
            <w:tcW w:w="569" w:type="pct"/>
            <w:shd w:val="pct20" w:color="000000" w:fill="FFFFFF"/>
            <w:vAlign w:val="center"/>
          </w:tcPr>
          <w:p w14:paraId="27D47F12" w14:textId="77777777" w:rsidR="00CD484C" w:rsidRDefault="00CD484C">
            <w:pPr>
              <w:spacing w:line="360" w:lineRule="auto"/>
              <w:jc w:val="center"/>
              <w:rPr>
                <w:sz w:val="18"/>
                <w:szCs w:val="16"/>
              </w:rPr>
            </w:pPr>
            <w:r>
              <w:rPr>
                <w:sz w:val="18"/>
                <w:szCs w:val="16"/>
              </w:rPr>
              <w:t>2(2,5%)</w:t>
            </w:r>
          </w:p>
        </w:tc>
        <w:tc>
          <w:tcPr>
            <w:tcW w:w="569" w:type="pct"/>
            <w:shd w:val="pct20" w:color="000000" w:fill="FFFFFF"/>
            <w:vAlign w:val="center"/>
          </w:tcPr>
          <w:p w14:paraId="1E1BA99C" w14:textId="77777777" w:rsidR="00CD484C" w:rsidRDefault="00CD484C">
            <w:pPr>
              <w:spacing w:line="360" w:lineRule="auto"/>
              <w:jc w:val="center"/>
              <w:rPr>
                <w:sz w:val="18"/>
                <w:szCs w:val="16"/>
              </w:rPr>
            </w:pPr>
          </w:p>
        </w:tc>
        <w:tc>
          <w:tcPr>
            <w:tcW w:w="853" w:type="pct"/>
            <w:shd w:val="pct20" w:color="000000" w:fill="FFFFFF"/>
            <w:vAlign w:val="center"/>
          </w:tcPr>
          <w:p w14:paraId="264697DF" w14:textId="77777777" w:rsidR="00CD484C" w:rsidRDefault="00CD484C">
            <w:pPr>
              <w:spacing w:line="360" w:lineRule="auto"/>
              <w:jc w:val="center"/>
              <w:rPr>
                <w:sz w:val="18"/>
                <w:szCs w:val="16"/>
              </w:rPr>
            </w:pPr>
          </w:p>
        </w:tc>
      </w:tr>
      <w:tr w:rsidR="00CD484C" w14:paraId="206646F1" w14:textId="77777777">
        <w:trPr>
          <w:jc w:val="center"/>
        </w:trPr>
        <w:tc>
          <w:tcPr>
            <w:tcW w:w="735" w:type="pct"/>
            <w:shd w:val="pct5" w:color="000000" w:fill="FFFFFF"/>
            <w:vAlign w:val="center"/>
          </w:tcPr>
          <w:p w14:paraId="28BA50E2" w14:textId="77777777" w:rsidR="00CD484C" w:rsidRDefault="00CD484C">
            <w:pPr>
              <w:spacing w:line="360" w:lineRule="auto"/>
              <w:jc w:val="both"/>
              <w:rPr>
                <w:sz w:val="18"/>
                <w:szCs w:val="16"/>
              </w:rPr>
            </w:pPr>
            <w:r>
              <w:rPr>
                <w:sz w:val="18"/>
                <w:szCs w:val="16"/>
              </w:rPr>
              <w:t>Итого</w:t>
            </w:r>
          </w:p>
        </w:tc>
        <w:tc>
          <w:tcPr>
            <w:tcW w:w="569" w:type="pct"/>
            <w:shd w:val="pct5" w:color="000000" w:fill="FFFFFF"/>
            <w:vAlign w:val="center"/>
          </w:tcPr>
          <w:p w14:paraId="0EBDBC8E" w14:textId="77777777" w:rsidR="00CD484C" w:rsidRDefault="00CD484C">
            <w:pPr>
              <w:spacing w:line="360" w:lineRule="auto"/>
              <w:jc w:val="center"/>
              <w:rPr>
                <w:sz w:val="18"/>
                <w:szCs w:val="16"/>
              </w:rPr>
            </w:pPr>
            <w:r>
              <w:rPr>
                <w:sz w:val="18"/>
                <w:szCs w:val="16"/>
              </w:rPr>
              <w:t>10(13%)</w:t>
            </w:r>
          </w:p>
        </w:tc>
        <w:tc>
          <w:tcPr>
            <w:tcW w:w="569" w:type="pct"/>
            <w:shd w:val="pct5" w:color="000000" w:fill="FFFFFF"/>
            <w:vAlign w:val="center"/>
          </w:tcPr>
          <w:p w14:paraId="1FF74DE2" w14:textId="77777777" w:rsidR="00CD484C" w:rsidRDefault="00CD484C">
            <w:pPr>
              <w:spacing w:line="360" w:lineRule="auto"/>
              <w:jc w:val="center"/>
              <w:rPr>
                <w:sz w:val="18"/>
                <w:szCs w:val="16"/>
              </w:rPr>
            </w:pPr>
            <w:r>
              <w:rPr>
                <w:sz w:val="18"/>
                <w:szCs w:val="16"/>
              </w:rPr>
              <w:t>1(1,3%)</w:t>
            </w:r>
          </w:p>
        </w:tc>
        <w:tc>
          <w:tcPr>
            <w:tcW w:w="569" w:type="pct"/>
            <w:shd w:val="pct5" w:color="000000" w:fill="FFFFFF"/>
            <w:vAlign w:val="center"/>
          </w:tcPr>
          <w:p w14:paraId="6D7396B7" w14:textId="77777777" w:rsidR="00CD484C" w:rsidRDefault="00CD484C">
            <w:pPr>
              <w:spacing w:line="360" w:lineRule="auto"/>
              <w:jc w:val="center"/>
              <w:rPr>
                <w:sz w:val="18"/>
                <w:szCs w:val="16"/>
              </w:rPr>
            </w:pPr>
            <w:r>
              <w:rPr>
                <w:sz w:val="18"/>
                <w:szCs w:val="16"/>
              </w:rPr>
              <w:t>1(1,3%)</w:t>
            </w:r>
          </w:p>
        </w:tc>
        <w:tc>
          <w:tcPr>
            <w:tcW w:w="569" w:type="pct"/>
            <w:shd w:val="pct5" w:color="000000" w:fill="FFFFFF"/>
            <w:vAlign w:val="center"/>
          </w:tcPr>
          <w:p w14:paraId="0669CC7E" w14:textId="77777777" w:rsidR="00CD484C" w:rsidRDefault="00CD484C">
            <w:pPr>
              <w:spacing w:line="360" w:lineRule="auto"/>
              <w:jc w:val="center"/>
              <w:rPr>
                <w:sz w:val="18"/>
                <w:szCs w:val="16"/>
              </w:rPr>
            </w:pPr>
            <w:r>
              <w:rPr>
                <w:sz w:val="18"/>
                <w:szCs w:val="16"/>
              </w:rPr>
              <w:t>1(1,3%)</w:t>
            </w:r>
          </w:p>
        </w:tc>
        <w:tc>
          <w:tcPr>
            <w:tcW w:w="569" w:type="pct"/>
            <w:shd w:val="pct5" w:color="000000" w:fill="FFFFFF"/>
            <w:vAlign w:val="center"/>
          </w:tcPr>
          <w:p w14:paraId="23D6A15E" w14:textId="77777777" w:rsidR="00CD484C" w:rsidRDefault="00CD484C">
            <w:pPr>
              <w:spacing w:line="360" w:lineRule="auto"/>
              <w:jc w:val="center"/>
              <w:rPr>
                <w:sz w:val="18"/>
                <w:szCs w:val="16"/>
              </w:rPr>
            </w:pPr>
            <w:r>
              <w:rPr>
                <w:sz w:val="18"/>
                <w:szCs w:val="16"/>
              </w:rPr>
              <w:t>2(2,5%)</w:t>
            </w:r>
          </w:p>
        </w:tc>
        <w:tc>
          <w:tcPr>
            <w:tcW w:w="569" w:type="pct"/>
            <w:shd w:val="pct5" w:color="000000" w:fill="FFFFFF"/>
            <w:vAlign w:val="center"/>
          </w:tcPr>
          <w:p w14:paraId="7BF95156" w14:textId="77777777" w:rsidR="00CD484C" w:rsidRDefault="00CD484C">
            <w:pPr>
              <w:spacing w:line="360" w:lineRule="auto"/>
              <w:jc w:val="center"/>
              <w:rPr>
                <w:sz w:val="18"/>
                <w:szCs w:val="16"/>
              </w:rPr>
            </w:pPr>
            <w:r>
              <w:rPr>
                <w:sz w:val="18"/>
                <w:szCs w:val="16"/>
              </w:rPr>
              <w:t>5(6,3%)</w:t>
            </w:r>
          </w:p>
        </w:tc>
        <w:tc>
          <w:tcPr>
            <w:tcW w:w="853" w:type="pct"/>
            <w:shd w:val="pct5" w:color="000000" w:fill="FFFFFF"/>
            <w:vAlign w:val="center"/>
          </w:tcPr>
          <w:p w14:paraId="26B2474E" w14:textId="77777777" w:rsidR="00CD484C" w:rsidRDefault="00CD484C">
            <w:pPr>
              <w:spacing w:line="360" w:lineRule="auto"/>
              <w:jc w:val="center"/>
              <w:rPr>
                <w:sz w:val="18"/>
                <w:szCs w:val="16"/>
              </w:rPr>
            </w:pPr>
            <w:r>
              <w:rPr>
                <w:sz w:val="18"/>
                <w:szCs w:val="16"/>
              </w:rPr>
              <w:t>59(74,68%)</w:t>
            </w:r>
          </w:p>
        </w:tc>
      </w:tr>
    </w:tbl>
    <w:p w14:paraId="0EBC4998" w14:textId="77777777" w:rsidR="00CD484C" w:rsidRDefault="00CD484C">
      <w:pPr>
        <w:spacing w:before="120"/>
        <w:ind w:firstLine="397"/>
        <w:rPr>
          <w:sz w:val="20"/>
          <w:szCs w:val="16"/>
        </w:rPr>
      </w:pPr>
      <w:r>
        <w:rPr>
          <w:sz w:val="20"/>
          <w:szCs w:val="16"/>
        </w:rPr>
        <w:t>ВСЕГО: 79(100%).</w:t>
      </w:r>
    </w:p>
    <w:p w14:paraId="68600EFA" w14:textId="76E58E99" w:rsidR="00CD484C" w:rsidRDefault="00395416">
      <w:pPr>
        <w:pStyle w:val="a5"/>
        <w:ind w:firstLine="397"/>
        <w:jc w:val="both"/>
        <w:rPr>
          <w:szCs w:val="16"/>
        </w:rPr>
      </w:pPr>
      <w:r>
        <w:rPr>
          <w:noProof/>
          <w:szCs w:val="16"/>
        </w:rPr>
        <w:lastRenderedPageBreak/>
        <mc:AlternateContent>
          <mc:Choice Requires="wps">
            <w:drawing>
              <wp:anchor distT="0" distB="0" distL="114300" distR="114300" simplePos="0" relativeHeight="251674112" behindDoc="0" locked="1" layoutInCell="1" allowOverlap="1" wp14:anchorId="0153DBA8" wp14:editId="0EABFBBF">
                <wp:simplePos x="0" y="0"/>
                <wp:positionH relativeFrom="column">
                  <wp:posOffset>0</wp:posOffset>
                </wp:positionH>
                <wp:positionV relativeFrom="paragraph">
                  <wp:posOffset>-252730</wp:posOffset>
                </wp:positionV>
                <wp:extent cx="4095750" cy="186690"/>
                <wp:effectExtent l="0" t="1905" r="3810" b="1905"/>
                <wp:wrapNone/>
                <wp:docPr id="1818580870"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F8E271"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3813BF13"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3DBA8" id="Text Box 236" o:spid="_x0000_s1079" type="#_x0000_t202" style="position:absolute;left:0;text-align:left;margin-left:0;margin-top:-19.9pt;width:322.5pt;height:14.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kzOPl7wEAAMIDAAAOAAAAAAAAAAAAAAAAAC4CAABkcnMvZTJv&#10;RG9jLnhtbFBLAQItABQABgAIAAAAIQCnTgMH3gAAAAgBAAAPAAAAAAAAAAAAAAAAAEkEAABkcnMv&#10;ZG93bnJldi54bWxQSwUGAAAAAAQABADzAAAAVAUAAAAA&#10;" stroked="f">
                <v:textbox inset="0,0,0,0">
                  <w:txbxContent>
                    <w:p w14:paraId="05F8E271"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3813BF13" w14:textId="77777777" w:rsidR="00AE2133" w:rsidRDefault="00AE2133">
                      <w:pPr>
                        <w:rPr>
                          <w:b/>
                          <w:bCs/>
                          <w:sz w:val="2"/>
                          <w:u w:val="single"/>
                        </w:rPr>
                      </w:pPr>
                    </w:p>
                  </w:txbxContent>
                </v:textbox>
                <w10:anchorlock/>
              </v:shape>
            </w:pict>
          </mc:Fallback>
        </mc:AlternateContent>
      </w:r>
      <w:r w:rsidR="00CD484C">
        <w:rPr>
          <w:szCs w:val="16"/>
        </w:rPr>
        <w:t xml:space="preserve">Нетрудно обратить внимание, что в последнем десятилетии хронологического распределения процент монет является преобладающим 74,68%, что выглядит естественным, а соотношение двух младших хронологических групп в данном памятнике, как впрочем, и клада Крещенный (Красный) баран свидетельствует о последнем всплеске чеканки Саманидов в 980-х гг. и Мамунидов в первом десятилетии  уже следующего XI в, не все импульсы, которых дошли до средней Волги. Поскольку клад найден близ одного из главного монетного двора Маверанахра – аш-Шаша, то присутствие ММ этого двора также естественно. Отметим наличие же  других ММ эмиссии, прежде всего Бухары, при численном преобладании монет её чекана и отсутствии младших монет чекана Самарканда и при сравнении с синхронным Чистопольским кладом (табл. 1) монеты  названного двора в нем также отсутствуют. Напомним, что М.Е. Массон и Е.А. Давидович показали существование в Маверанахре в Х в. трех областных денежных рынков: Самарканд, Бухара, Шаш (Давидович Е.А., 1966. – С. 1112–113). Можно ли в связи с приведенными материалами высказать мысль о том, что житель Бухары в 381 г.х., направляясь на восток, проследовав через Самарканд, где совершил небольшую торговую сделку и остановился на городище </w:t>
      </w:r>
      <w:r w:rsidR="00CD484C">
        <w:rPr>
          <w:color w:val="000000"/>
          <w:szCs w:val="16"/>
        </w:rPr>
        <w:t>Абрлыга. Интересно, что клад содержит ювелирные золотые и серебряные украшения, изготовленные, по-видимому, из местных руд. Золото и серебро добывалось, согласно Ю.Ф. Бурякову (1974. – С. 110), на рудниках, расположенные вокруг Абрлыги. Здесь купец из Бухары совершил удачные сделки, как с местными купцами, так и купцами из Ферганы, а затем по каким-то причинам сокрыл свое монетно-вещевое сокровище, что произошло не позднее 382/992 г.</w:t>
      </w:r>
    </w:p>
    <w:p w14:paraId="482B86F4" w14:textId="77777777" w:rsidR="00CD484C" w:rsidRDefault="00CD484C">
      <w:pPr>
        <w:ind w:firstLine="397"/>
        <w:jc w:val="both"/>
        <w:rPr>
          <w:sz w:val="20"/>
          <w:szCs w:val="16"/>
        </w:rPr>
      </w:pPr>
      <w:r>
        <w:rPr>
          <w:sz w:val="20"/>
          <w:szCs w:val="16"/>
        </w:rPr>
        <w:t xml:space="preserve">Присутствие в Ташкентском кладе первой монеты караханидского чекана, выпущенной от имени Турк-хакана  и Арслан-тегина: Фергана 381 г.х. являющейся младшей, симптоматично и делает в целом  клад Абрылга  ценным источником по истории денежного обращения и политической истории Маверанахра в период смены правящих династий, отражая вместе с тем постепенный переход к тюркизации Центральной Азии, имеющее для Среднего Востока эпохальное значение, обращает внимание Б.А. Литвинский (2003. – С. 192–193). </w:t>
      </w:r>
    </w:p>
    <w:p w14:paraId="48E51B54" w14:textId="77777777" w:rsidR="00CD484C" w:rsidRDefault="00CD484C">
      <w:pPr>
        <w:ind w:firstLine="397"/>
        <w:jc w:val="both"/>
        <w:rPr>
          <w:sz w:val="20"/>
          <w:szCs w:val="16"/>
        </w:rPr>
      </w:pPr>
      <w:r>
        <w:rPr>
          <w:sz w:val="20"/>
          <w:szCs w:val="16"/>
        </w:rPr>
        <w:t>В означенном году Фергана в первый раз была захвачена Кахраханидами, изгнавшие саманидского сановника Ахмеда б.Али (Атаходжаев А.Х., 1999. – С. 52–53). Вместе с тем, характерно, что в хронологически следующем кладе Красный баран соотношение монет Саманидов – Симджуридов – Буидов – Илеков составляет как 17 : 7 : 37 : 11 (Добровольский И.Г., 2001. – С. 64–65) и присутствие монет Илека  Кутб ад-Даула Карахана может свидетельствовать о том, что еще до своего полного установления господства в Маверанахре Карахиниды взяли в свои руки торговлю с севером. /Рис. 3/.</w:t>
      </w:r>
    </w:p>
    <w:p w14:paraId="18563372" w14:textId="64DD66E6" w:rsidR="00CD484C" w:rsidRDefault="00395416">
      <w:pPr>
        <w:jc w:val="center"/>
        <w:rPr>
          <w:sz w:val="20"/>
          <w:szCs w:val="16"/>
        </w:rPr>
      </w:pPr>
      <w:r>
        <w:rPr>
          <w:noProof/>
          <w:sz w:val="20"/>
          <w:szCs w:val="16"/>
        </w:rPr>
        <w:lastRenderedPageBreak/>
        <mc:AlternateContent>
          <mc:Choice Requires="wps">
            <w:drawing>
              <wp:anchor distT="0" distB="0" distL="114300" distR="114300" simplePos="0" relativeHeight="251617792" behindDoc="0" locked="0" layoutInCell="1" allowOverlap="1" wp14:anchorId="091E6A44" wp14:editId="665BA532">
                <wp:simplePos x="0" y="0"/>
                <wp:positionH relativeFrom="column">
                  <wp:posOffset>1143000</wp:posOffset>
                </wp:positionH>
                <wp:positionV relativeFrom="paragraph">
                  <wp:posOffset>123190</wp:posOffset>
                </wp:positionV>
                <wp:extent cx="1714500" cy="228600"/>
                <wp:effectExtent l="0" t="635" r="2540" b="0"/>
                <wp:wrapNone/>
                <wp:docPr id="131783433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6FABC" id="Rectangle 39" o:spid="_x0000_s1026" style="position:absolute;margin-left:90pt;margin-top:9.7pt;width:135pt;height:18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6n5A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" stroked="f"/>
            </w:pict>
          </mc:Fallback>
        </mc:AlternateContent>
      </w:r>
      <w:r>
        <w:rPr>
          <w:noProof/>
          <w:sz w:val="20"/>
          <w:szCs w:val="16"/>
        </w:rPr>
        <w:drawing>
          <wp:inline distT="0" distB="0" distL="0" distR="0" wp14:anchorId="3CFE1E21" wp14:editId="390D533E">
            <wp:extent cx="4114800" cy="2057400"/>
            <wp:effectExtent l="0" t="0" r="0" b="0"/>
            <wp:docPr id="36"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E004C4B" w14:textId="77777777" w:rsidR="00CD484C" w:rsidRDefault="00CD484C">
      <w:pPr>
        <w:pStyle w:val="31"/>
      </w:pPr>
      <w:r>
        <w:rPr>
          <w:b/>
          <w:bCs/>
        </w:rPr>
        <w:t xml:space="preserve">Рис. 3. </w:t>
      </w:r>
      <w:r>
        <w:t xml:space="preserve">Клад Красный баран 1905 г. Хрронлого-эмиссионное распределение. </w:t>
      </w:r>
      <w:r>
        <w:br/>
        <w:t>(78 монет по А.К. Маркову, Е.А. Пахомову и И.Г. Добровольскому)</w:t>
      </w:r>
    </w:p>
    <w:p w14:paraId="2C7BB5B6" w14:textId="77777777" w:rsidR="00CD484C" w:rsidRDefault="00CD484C">
      <w:pPr>
        <w:ind w:firstLine="397"/>
        <w:jc w:val="both"/>
        <w:rPr>
          <w:sz w:val="20"/>
          <w:szCs w:val="16"/>
        </w:rPr>
      </w:pPr>
    </w:p>
    <w:p w14:paraId="20F6C024" w14:textId="77777777" w:rsidR="00CD484C" w:rsidRDefault="00CD484C">
      <w:pPr>
        <w:ind w:firstLine="397"/>
        <w:jc w:val="both"/>
        <w:rPr>
          <w:sz w:val="20"/>
          <w:szCs w:val="16"/>
        </w:rPr>
      </w:pPr>
      <w:r>
        <w:rPr>
          <w:sz w:val="20"/>
          <w:szCs w:val="16"/>
        </w:rPr>
        <w:t xml:space="preserve">Клады, приведенные выше документируют отсутствие экономических связей в 990–1010 годах в пространстве от Амуля (прикаспийского) до аш-Шаша и обособление денежного и товарных рынков в Сев. Иране и Средней  Азии на 5 локальных рынков: Табаристан, – Амуль – Джурджан – Исфахан; Северный Хорасан – Ферава-Мерв; Южный Хорасан – Нисабур, Маверанахр – Бухара – Шаш и, отдельно, – Хорезм. </w:t>
      </w:r>
    </w:p>
    <w:p w14:paraId="3535E152" w14:textId="77777777" w:rsidR="00CD484C" w:rsidRDefault="00CD484C">
      <w:pPr>
        <w:ind w:firstLine="397"/>
        <w:jc w:val="both"/>
        <w:rPr>
          <w:sz w:val="20"/>
          <w:szCs w:val="16"/>
        </w:rPr>
      </w:pPr>
      <w:r>
        <w:rPr>
          <w:sz w:val="20"/>
          <w:szCs w:val="16"/>
        </w:rPr>
        <w:t xml:space="preserve">Монеты последнего десятилетия Х в. Северного Хорасана, а также саманидские и илекские стягивались, что очевидно в Хорезме, на что в свое время обратил внимание Р.Р. Фасмер (1933. – С. 476) и, подхватывая чекан последнего, устремлялись к Волге. При этом, следует заметить, что материалы кладов, выпавших как в Поволжье, так и сопредельных районах  показывают два, если не три сухопутных пути (Фомин А.В., 1988а. – С. 196; Хан Н.А., 2001). Материалы двух приведенных кладов – Чистопольский и Абрылга показывают, что  в последнем десятилетии естественной границей между Хорасаном и Маверанахром стала Аму-Дарья, т.к. отсутствие монет соседей на двух территориях, по крайней мере, показывает отсутствие всяких экономических контактов, тогда как ни Мамуниды, ни Илеки и торговых отношений с Севером не прерывали. </w:t>
      </w:r>
    </w:p>
    <w:p w14:paraId="6F11E220" w14:textId="416A85EB" w:rsidR="00CD484C" w:rsidRDefault="00CD484C">
      <w:pPr>
        <w:ind w:firstLine="397"/>
        <w:jc w:val="both"/>
        <w:rPr>
          <w:sz w:val="20"/>
          <w:szCs w:val="16"/>
        </w:rPr>
      </w:pPr>
      <w:r>
        <w:rPr>
          <w:sz w:val="20"/>
          <w:szCs w:val="16"/>
        </w:rPr>
        <w:t>Осуществим попытку выяснения хронологического состава клада Абрылга 1976 г. «Хронологический состав клада выражается в виде распределения монет по десятилетиям и изображается графически. Численность каждого типа монет дается в процентах от общей суммы состава клада монет», – разработка А.В. Фомина (1983а. – С. 78). /Рис. 4/. Остановимся на старших монетах клада Абрлыга. Они, составляя 12, 65% клада /Табл. 3/, занимают второе место после монет выпуска последнего десяти</w:t>
      </w:r>
      <w:r w:rsidR="00395416">
        <w:rPr>
          <w:noProof/>
          <w:sz w:val="20"/>
          <w:szCs w:val="16"/>
        </w:rPr>
        <mc:AlternateContent>
          <mc:Choice Requires="wps">
            <w:drawing>
              <wp:anchor distT="0" distB="0" distL="114300" distR="114300" simplePos="0" relativeHeight="251675136" behindDoc="0" locked="1" layoutInCell="1" allowOverlap="1" wp14:anchorId="6EDF68F3" wp14:editId="1D9A3EDE">
                <wp:simplePos x="0" y="0"/>
                <wp:positionH relativeFrom="column">
                  <wp:posOffset>0</wp:posOffset>
                </wp:positionH>
                <wp:positionV relativeFrom="paragraph">
                  <wp:posOffset>-252730</wp:posOffset>
                </wp:positionV>
                <wp:extent cx="4095750" cy="186690"/>
                <wp:effectExtent l="0" t="1905" r="3810" b="1905"/>
                <wp:wrapNone/>
                <wp:docPr id="51806243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A6F5B3"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622CA15A"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F68F3" id="Text Box 237" o:spid="_x0000_s1080" type="#_x0000_t202" style="position:absolute;left:0;text-align:left;margin-left:0;margin-top:-19.9pt;width:322.5pt;height:14.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8F8aW7wEAAMIDAAAOAAAAAAAAAAAAAAAAAC4CAABkcnMvZTJv&#10;RG9jLnhtbFBLAQItABQABgAIAAAAIQCnTgMH3gAAAAgBAAAPAAAAAAAAAAAAAAAAAEkEAABkcnMv&#10;ZG93bnJldi54bWxQSwUGAAAAAAQABADzAAAAVAUAAAAA&#10;" stroked="f">
                <v:textbox inset="0,0,0,0">
                  <w:txbxContent>
                    <w:p w14:paraId="2AA6F5B3"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622CA15A" w14:textId="77777777" w:rsidR="00AE2133" w:rsidRDefault="00AE2133">
                      <w:pPr>
                        <w:rPr>
                          <w:b/>
                          <w:bCs/>
                          <w:sz w:val="2"/>
                          <w:u w:val="single"/>
                        </w:rPr>
                      </w:pPr>
                    </w:p>
                  </w:txbxContent>
                </v:textbox>
                <w10:anchorlock/>
              </v:shape>
            </w:pict>
          </mc:Fallback>
        </mc:AlternateContent>
      </w:r>
      <w:r>
        <w:rPr>
          <w:sz w:val="20"/>
          <w:szCs w:val="16"/>
        </w:rPr>
        <w:t xml:space="preserve">летия, демонстрируя в месте с тем  всплеск эмиссии  в 920-х годах в </w:t>
      </w:r>
      <w:r>
        <w:rPr>
          <w:sz w:val="20"/>
          <w:szCs w:val="16"/>
        </w:rPr>
        <w:lastRenderedPageBreak/>
        <w:t xml:space="preserve">Маверанахре, что хорошо известно по данным анализа хронологического состава русских кладов, осуществленных С.А. Яниной и А.В. Фоминым, к тому же  примем во внимание, что в Чистопольском кладе также зафиксирована одна из старших монет-брактиат, «эмитированная» в Шаше 308/920–921 г., и подавляющее большинство монет 920-х годов клада Абрлыга биты на данном монетном дворе. </w:t>
      </w:r>
    </w:p>
    <w:p w14:paraId="1C1CCF93" w14:textId="77777777" w:rsidR="00CD484C" w:rsidRDefault="00CD484C">
      <w:pPr>
        <w:ind w:firstLine="397"/>
        <w:jc w:val="both"/>
        <w:rPr>
          <w:b/>
          <w:i/>
          <w:sz w:val="12"/>
          <w:szCs w:val="16"/>
        </w:rPr>
      </w:pPr>
      <w:r>
        <w:rPr>
          <w:b/>
          <w:i/>
          <w:sz w:val="12"/>
          <w:szCs w:val="16"/>
        </w:rPr>
        <w:tab/>
      </w:r>
    </w:p>
    <w:p w14:paraId="18540E40" w14:textId="7E0DE8FA" w:rsidR="00CD484C" w:rsidRDefault="00395416">
      <w:pPr>
        <w:jc w:val="center"/>
        <w:rPr>
          <w:sz w:val="20"/>
          <w:szCs w:val="16"/>
        </w:rPr>
      </w:pPr>
      <w:r>
        <w:rPr>
          <w:noProof/>
          <w:sz w:val="20"/>
          <w:szCs w:val="16"/>
        </w:rPr>
        <w:drawing>
          <wp:inline distT="0" distB="0" distL="0" distR="0" wp14:anchorId="7BD6AAA2" wp14:editId="221AED4A">
            <wp:extent cx="2933700" cy="2231390"/>
            <wp:effectExtent l="0" t="0" r="0" b="0"/>
            <wp:docPr id="37" name="Объект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BB36A8A" w14:textId="77777777" w:rsidR="00CD484C" w:rsidRDefault="00CD484C">
      <w:pPr>
        <w:ind w:firstLine="397"/>
        <w:jc w:val="both"/>
        <w:rPr>
          <w:sz w:val="16"/>
          <w:szCs w:val="16"/>
        </w:rPr>
      </w:pPr>
    </w:p>
    <w:p w14:paraId="5D0B204D" w14:textId="77777777" w:rsidR="00CD484C" w:rsidRDefault="00CD484C">
      <w:pPr>
        <w:jc w:val="center"/>
        <w:rPr>
          <w:i/>
          <w:iCs/>
          <w:sz w:val="18"/>
          <w:szCs w:val="16"/>
        </w:rPr>
      </w:pPr>
      <w:r>
        <w:rPr>
          <w:b/>
          <w:bCs/>
          <w:i/>
          <w:iCs/>
          <w:sz w:val="18"/>
          <w:szCs w:val="16"/>
        </w:rPr>
        <w:t>Рис. 4.</w:t>
      </w:r>
      <w:r>
        <w:rPr>
          <w:i/>
          <w:iCs/>
          <w:sz w:val="18"/>
          <w:szCs w:val="16"/>
        </w:rPr>
        <w:t xml:space="preserve"> Клад Абрылга 1976 г. Хронолого-династийное распределение </w:t>
      </w:r>
      <w:r>
        <w:rPr>
          <w:i/>
          <w:iCs/>
          <w:sz w:val="18"/>
          <w:szCs w:val="16"/>
        </w:rPr>
        <w:br/>
        <w:t>(по Б.Д. Кочневу).</w:t>
      </w:r>
    </w:p>
    <w:p w14:paraId="0EE300AB" w14:textId="77777777" w:rsidR="00CD484C" w:rsidRDefault="00CD484C">
      <w:pPr>
        <w:ind w:firstLine="397"/>
        <w:jc w:val="both"/>
        <w:rPr>
          <w:sz w:val="12"/>
          <w:szCs w:val="16"/>
        </w:rPr>
      </w:pPr>
    </w:p>
    <w:p w14:paraId="359D59AB" w14:textId="77777777" w:rsidR="00CD484C" w:rsidRDefault="00CD484C">
      <w:pPr>
        <w:ind w:firstLine="397"/>
        <w:jc w:val="both"/>
        <w:rPr>
          <w:sz w:val="20"/>
          <w:szCs w:val="16"/>
        </w:rPr>
      </w:pPr>
      <w:r>
        <w:rPr>
          <w:sz w:val="20"/>
          <w:szCs w:val="16"/>
        </w:rPr>
        <w:t xml:space="preserve">Методика анализа хронологического состава кладов, предполагает установить определяющую группу монет того или иного клада, характеризующую состав монетного обращения. Сразу же отсечем «отсталые» монеты, являющиеся, согласно В.Л. Янину «реликтами» того или иного клада – к их числу принадлежит в изучаемом кладе аббасидский дирхем 279 г.х. Следовательно, старшей монетой в ташкентском кладе следует признать монету, эмитированную в Самарканде  309/920–921 г. </w:t>
      </w:r>
    </w:p>
    <w:p w14:paraId="7085BBC7" w14:textId="77777777" w:rsidR="00CD484C" w:rsidRDefault="00CD484C">
      <w:pPr>
        <w:ind w:firstLine="397"/>
        <w:jc w:val="both"/>
        <w:rPr>
          <w:sz w:val="20"/>
          <w:szCs w:val="16"/>
        </w:rPr>
      </w:pPr>
      <w:r>
        <w:rPr>
          <w:sz w:val="20"/>
          <w:szCs w:val="16"/>
        </w:rPr>
        <w:t xml:space="preserve">Учитывая, что ММ клада являются дирхемы, битые, в том числе, и в Самарканде в 381/991 г., то в этой связи, хронологический диапазон клада Абрылга составляет более 70 лет. Этот показатель весьма важен, что сближает его с синхронными русскими кладами, которые в данном периоде обращения восточной монеты также отличались достаточно длинными хронологическим диапазоном. И, резко отличается от практически ему синхронного клада, найденного в Чистполье, где, как показано выше, подобный показатель составляет только 50 лет. </w:t>
      </w:r>
    </w:p>
    <w:p w14:paraId="5581A625" w14:textId="77777777" w:rsidR="00CD484C" w:rsidRDefault="00CD484C">
      <w:pPr>
        <w:ind w:firstLine="397"/>
        <w:jc w:val="both"/>
        <w:rPr>
          <w:spacing w:val="-2"/>
          <w:sz w:val="20"/>
          <w:szCs w:val="16"/>
        </w:rPr>
      </w:pPr>
      <w:r>
        <w:rPr>
          <w:spacing w:val="-2"/>
          <w:sz w:val="20"/>
          <w:szCs w:val="16"/>
        </w:rPr>
        <w:t xml:space="preserve">Обращает на себя внимание младшая хроногруппа, представленная абсолютным большинством бухарскими монетами – она занимает 3/4 всего </w:t>
      </w:r>
      <w:r>
        <w:rPr>
          <w:spacing w:val="-2"/>
          <w:sz w:val="20"/>
          <w:szCs w:val="16"/>
        </w:rPr>
        <w:lastRenderedPageBreak/>
        <w:t>объема клада, а вместе с предшествующей образуя соотношение как 59 к 5. Можно сделать заключение, нуждающееся в верификации на аналогичном материале, состоящее в том, что в стране-эмитенте непосредственно перед завоеванием ее Караханидами монетные дворы Маверанахра, по-видимому, полностью обеспечивая потребности внутреннего денежного обращения в металлических средствах платежа, сумели покрыть его дефицит, образовавшиеся в результате торговли с Европой, который произошел в результате оттока монеты в Европу в 70-х гг.</w:t>
      </w:r>
      <w:r>
        <w:rPr>
          <w:rStyle w:val="a6"/>
          <w:spacing w:val="-2"/>
          <w:sz w:val="20"/>
          <w:szCs w:val="16"/>
        </w:rPr>
        <w:footnoteReference w:customMarkFollows="1" w:id="87"/>
        <w:t>11</w:t>
      </w:r>
      <w:r>
        <w:rPr>
          <w:spacing w:val="-2"/>
          <w:sz w:val="20"/>
          <w:szCs w:val="16"/>
        </w:rPr>
        <w:t xml:space="preserve"> Отсутствие монет 960-х годов во всех приведенных в данном очерке кладах, свидетельствует об остром серебряном кризисе на Востоке, которое привело к снижению поступления монеты в Восточную Европу и её задержку на первых денежных рынках, имевшее объективный характер. Существует справедливое во многом мнение, что киевский князь Святослав ходил также на Волжскую Булгарию, когда, вступив союз с огузами, подверг одновременному нападению на Хазарию с двух сторон, пытаясь расчистить себе путь к серебру (Сахаров А.Н., 1982. – С. 96–106; Franklin S., Shepard J., 1998. – Р. 145). Святослав, таким образом, разгромил все первые  денежные рынки Восточной Европы, решив крупные внутри- и внешнеполитические задачи. </w:t>
      </w:r>
    </w:p>
    <w:p w14:paraId="69CFC629" w14:textId="77777777" w:rsidR="00CD484C" w:rsidRDefault="00CD484C">
      <w:pPr>
        <w:ind w:firstLine="397"/>
        <w:jc w:val="both"/>
        <w:rPr>
          <w:spacing w:val="-2"/>
          <w:sz w:val="20"/>
          <w:szCs w:val="16"/>
        </w:rPr>
      </w:pPr>
      <w:r>
        <w:rPr>
          <w:spacing w:val="-2"/>
          <w:sz w:val="20"/>
          <w:szCs w:val="16"/>
        </w:rPr>
        <w:t>Сложность политических процессов происходящих в странах-эмитентах монеты отражают некоторые нумизматические аратефакты, отмеченные в публикациях кладов Чистопольском, Красный (Крещенный)  баран и Абрылга, где выделяются дирхемы с обозначением провинций, но не городов: Кумыс 368 г. (Лихачев А.Ф., 1887. – С. 16. – № 15);  Хорезм 395 г. (Марков А.К., 1908. – С. 5. – № 8);  Фергана 381 г. (Кочнев Б.Д., 1996. – № 9). Караханидский дирхем последнего клада отражает одномоментный (годовой) факт установления власти тюркской династии (Атаходжаев А.Х., 1999. – С. 53), когда Саманиды уже не имея  ярких политических лидеров, оказывали лишь пассивное сопротивление при равнодушии духовенства, как можно встретить в современной литературе. Обозначение провинций на монетах, таким образом, свидетельствует о неполном (декларативном) обладании эмиров-эмитентов данными территориями</w:t>
      </w:r>
      <w:r>
        <w:rPr>
          <w:rStyle w:val="a6"/>
          <w:spacing w:val="-2"/>
          <w:sz w:val="20"/>
          <w:szCs w:val="16"/>
        </w:rPr>
        <w:footnoteReference w:customMarkFollows="1" w:id="88"/>
        <w:t>12</w:t>
      </w:r>
      <w:r>
        <w:rPr>
          <w:spacing w:val="-2"/>
          <w:sz w:val="20"/>
          <w:szCs w:val="16"/>
        </w:rPr>
        <w:t>.</w:t>
      </w:r>
    </w:p>
    <w:p w14:paraId="62F2023C" w14:textId="12F0A15F" w:rsidR="00CD484C" w:rsidRDefault="00CD484C">
      <w:pPr>
        <w:ind w:firstLine="397"/>
        <w:jc w:val="both"/>
        <w:rPr>
          <w:spacing w:val="-2"/>
          <w:sz w:val="20"/>
          <w:szCs w:val="16"/>
        </w:rPr>
      </w:pPr>
      <w:r>
        <w:rPr>
          <w:spacing w:val="-2"/>
          <w:sz w:val="20"/>
          <w:szCs w:val="16"/>
        </w:rPr>
        <w:t>Торговые связи с севером были выгодными и престижными и для глубокого Закавказья, о чем свидетельствуют монеты Мазайдидов клада Красный (Крещенный) баран. Следует обратить внимание на мнение В.Ф. Минорского, согласившегося с передатировкой Е.А. Пахомова дирхемов</w:t>
      </w:r>
      <w:r>
        <w:rPr>
          <w:spacing w:val="-2"/>
          <w:sz w:val="20"/>
          <w:szCs w:val="16"/>
        </w:rPr>
        <w:br/>
        <w:t>Ма</w:t>
      </w:r>
      <w:r w:rsidR="00395416">
        <w:rPr>
          <w:noProof/>
          <w:spacing w:val="-2"/>
          <w:sz w:val="20"/>
          <w:szCs w:val="16"/>
        </w:rPr>
        <mc:AlternateContent>
          <mc:Choice Requires="wps">
            <w:drawing>
              <wp:anchor distT="0" distB="0" distL="114300" distR="114300" simplePos="0" relativeHeight="251676160" behindDoc="0" locked="1" layoutInCell="1" allowOverlap="1" wp14:anchorId="0BCA2B1A" wp14:editId="7FFFC9E0">
                <wp:simplePos x="0" y="0"/>
                <wp:positionH relativeFrom="column">
                  <wp:posOffset>0</wp:posOffset>
                </wp:positionH>
                <wp:positionV relativeFrom="paragraph">
                  <wp:posOffset>-252730</wp:posOffset>
                </wp:positionV>
                <wp:extent cx="4095750" cy="186690"/>
                <wp:effectExtent l="0" t="1905" r="3810" b="1905"/>
                <wp:wrapNone/>
                <wp:docPr id="1825953773"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6DC97"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15D96E31"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A2B1A" id="Text Box 238" o:spid="_x0000_s1081" type="#_x0000_t202" style="position:absolute;left:0;text-align:left;margin-left:0;margin-top:-19.9pt;width:322.5pt;height:14.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P5WzD7wEAAMIDAAAOAAAAAAAAAAAAAAAAAC4CAABkcnMvZTJv&#10;RG9jLnhtbFBLAQItABQABgAIAAAAIQCnTgMH3gAAAAgBAAAPAAAAAAAAAAAAAAAAAEkEAABkcnMv&#10;ZG93bnJldi54bWxQSwUGAAAAAAQABADzAAAAVAUAAAAA&#10;" stroked="f">
                <v:textbox inset="0,0,0,0">
                  <w:txbxContent>
                    <w:p w14:paraId="68D6DC97"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15D96E31" w14:textId="77777777" w:rsidR="00AE2133" w:rsidRDefault="00AE2133">
                      <w:pPr>
                        <w:rPr>
                          <w:b/>
                          <w:bCs/>
                          <w:sz w:val="2"/>
                          <w:u w:val="single"/>
                        </w:rPr>
                      </w:pPr>
                    </w:p>
                  </w:txbxContent>
                </v:textbox>
                <w10:anchorlock/>
              </v:shape>
            </w:pict>
          </mc:Fallback>
        </mc:AlternateContent>
      </w:r>
      <w:r>
        <w:rPr>
          <w:spacing w:val="-2"/>
          <w:sz w:val="20"/>
          <w:szCs w:val="16"/>
        </w:rPr>
        <w:t xml:space="preserve">зайдидов – 381/991 г. /Табл. 2/, клада Красный баран, об участии данной династии в управлении Азербайджаном (Минорский В.Ф., 1963. – С. 90). </w:t>
      </w:r>
    </w:p>
    <w:p w14:paraId="794CB4D9" w14:textId="77777777" w:rsidR="00CD484C" w:rsidRDefault="00CD484C">
      <w:pPr>
        <w:ind w:firstLine="397"/>
        <w:jc w:val="both"/>
        <w:rPr>
          <w:sz w:val="20"/>
          <w:szCs w:val="16"/>
        </w:rPr>
      </w:pPr>
      <w:r>
        <w:rPr>
          <w:sz w:val="20"/>
          <w:szCs w:val="16"/>
        </w:rPr>
        <w:lastRenderedPageBreak/>
        <w:t>Но не менее интересным представляется вопрос об уровнях географических  знаний конечных потребителей восточного серебра, уже давно не ставшего «куфическим» – населения Северной Европы. Рассмотренные клады, отражая состояние денежного хозяйства и валютного рынков, а также усиленная задержка населением Восточной Европы серебра, последний импульс которого, как известно, осел на Северо-Западе Руси показывают, что в последний период эпохи викингов в Европе (980–1066 гг.) развитие скандинавских стран шло уже с опорой на собственные ресурсы (Лебедев Г.С., 1985. – С. 255, 269). Вместе с этим скандинавские рунические надписи, нарративные источники, а также сведения арабо-персидской литературы  убедительно показывают о неослабевающем интересе викингов к богатствам Востока, поскольку, побудительным мотивом походов викингов еще на начальной стадии явилось «желание поставить их /торговые пути – Н.Х/. и связанные с ними рынки серебра и пушнины по свой контроль» (Носов Е.Н., 1998. – С. 57, 61).</w:t>
      </w:r>
    </w:p>
    <w:p w14:paraId="0EC2EF1B" w14:textId="77777777" w:rsidR="00CD484C" w:rsidRDefault="00CD484C">
      <w:pPr>
        <w:ind w:firstLine="397"/>
        <w:jc w:val="both"/>
        <w:rPr>
          <w:spacing w:val="-2"/>
          <w:sz w:val="20"/>
          <w:szCs w:val="16"/>
        </w:rPr>
      </w:pPr>
      <w:r>
        <w:rPr>
          <w:spacing w:val="-2"/>
          <w:sz w:val="20"/>
          <w:szCs w:val="16"/>
        </w:rPr>
        <w:t>Известно по крайней мере два географических пункта, куда устремлялись по-прежнему грабительские походы варягов. Согласно «Саге об Ингваре» один из хёвдингов Средней Швеции Ингвар Эмударсон  в 1041 г. возглавил поход соотечественников в Серкленд, закончившийся трагически, в том числе и для предводителя. Причем в Саге соединяются две различные устные традиции – поход русов на Берда’а в 333/944 г., предположительно под предводительством киевского князя Игоря и поход шведов, возглавляемый Ингваром Путешественником (Глазырина Г.В., 2000. – С. 155–165). Точка зрения Е.А. Мельниковой, нашедшая концентрированное изложение в наиболее полном своде скандинавских рунических надписей Восточной и Северной Европы предполагает учет не только скупых и отрывочных сведений о походе Ингвара, дружина которого состояла а службе Ярослава Мудрого, но и реалий «политических и династических связей Швеции и Руси в 1030–1040-х гг.» (Мельникова Е.А., 2001. – С. 61–62).</w:t>
      </w:r>
    </w:p>
    <w:p w14:paraId="675BA577" w14:textId="77777777" w:rsidR="00CD484C" w:rsidRDefault="00CD484C">
      <w:pPr>
        <w:ind w:firstLine="397"/>
        <w:jc w:val="both"/>
        <w:rPr>
          <w:sz w:val="20"/>
          <w:szCs w:val="16"/>
        </w:rPr>
      </w:pPr>
      <w:r>
        <w:rPr>
          <w:sz w:val="20"/>
          <w:szCs w:val="16"/>
        </w:rPr>
        <w:t>Согласно ибн Мискавейху, сообщение которого в свое время были проанализировано А.Ю. Якубовским (1926. – С. 66, 69), в 333/943–944 русы, взяв Бердаа, истребили часть его жителей и взяли в плен более 10 тысяч мужчин и женщин.</w:t>
      </w:r>
    </w:p>
    <w:p w14:paraId="41E7AB16" w14:textId="77777777" w:rsidR="00CD484C" w:rsidRDefault="00CD484C">
      <w:pPr>
        <w:ind w:firstLine="397"/>
        <w:jc w:val="both"/>
        <w:rPr>
          <w:sz w:val="20"/>
          <w:szCs w:val="16"/>
        </w:rPr>
      </w:pPr>
      <w:r>
        <w:rPr>
          <w:sz w:val="20"/>
          <w:szCs w:val="16"/>
        </w:rPr>
        <w:t xml:space="preserve">Историческая и хронологическая канва «Саги об Ингваре» документируются 25 «ингваровыми» камнями, поставленными в память о погибших на востоке в провинции Стрэнгиэс около оз. Мелар, датируемые серединой XI в. «Стрэнгиэс и прилегающая к нему область явились центром, откуда Ингвар отправился в поход» (Мельникова Е.А., 2001. – С. 53). Надпись на стелле в частности из Грипсхольма единственная, где о маршруте Ингвара говорится более подробно: на восток – на Русь, а затем на юг – в Серкленд (sunarta a sirkanti), где сводные братья погибли: «Тола велела установить этот камень по своему сыну Харальду, брату Ингвара. Они отважно уехали </w:t>
      </w:r>
      <w:r>
        <w:rPr>
          <w:sz w:val="20"/>
          <w:szCs w:val="16"/>
        </w:rPr>
        <w:lastRenderedPageBreak/>
        <w:t>далеко за золотом и на востоке кормили орлов. Умерли на юге в Серкленде» (Мельникова Е.А., 2001. – С. 52, 305. № 5, 8).</w:t>
      </w:r>
    </w:p>
    <w:p w14:paraId="6F9B3133" w14:textId="77777777" w:rsidR="00CD484C" w:rsidRDefault="00CD484C">
      <w:pPr>
        <w:ind w:firstLine="397"/>
        <w:jc w:val="both"/>
        <w:rPr>
          <w:spacing w:val="-2"/>
          <w:sz w:val="20"/>
          <w:szCs w:val="16"/>
        </w:rPr>
      </w:pPr>
      <w:r>
        <w:rPr>
          <w:spacing w:val="-2"/>
          <w:sz w:val="20"/>
          <w:szCs w:val="16"/>
        </w:rPr>
        <w:t>Согласно Е.А. Мельниковой, Серкленд относится к числу таких территорий, которые посещались викингами крайне нерегулярно, и сведения о них были поэтому неточны (Мельникова Е.А., 1998. – С. 202–203; 2001. – С. 67). Скандинавы могли добираться и до Хорезма Приведем надпись № 13 из Вестмиланда (Швеция): «Гудлейв установил столп и эти камни по Слагви, своему сыну, умершему на востоке в Гардах» /в Хорезме – ?/. Топоним austr i karuzm истолковывается по-разному (Мельникова Е.А., 2001. – С. 281–290. № 2, 3), По мнению И.Г. Коноваловой (2001. – С. 189–190), поездки скандинавов в Хорезм носили эпизодический характер – karuzm не встречается в скандинавской литературе. Самые дальние географические районы, где локализуется Серкленд, и где следовательно были норманы – Северная Африка и Месопотамия. Вместе с тем, арабо-персидская литература демонстрирует изменение направления работорговли, которое произошло во второй половине Х в., что соотносится, согласно точке зрения Д.Е. Мишина, с экономическими последствиями походов Святиослава. Основными покупателями «живого товара» на рынках  Волжской Булгарии стали хорезмийцы и хорасанские гази (Мишин Д.Е., 2002. – 179–182).</w:t>
      </w:r>
    </w:p>
    <w:p w14:paraId="2FBB52EF" w14:textId="77777777" w:rsidR="00CD484C" w:rsidRDefault="00CD484C">
      <w:pPr>
        <w:ind w:firstLine="397"/>
        <w:jc w:val="both"/>
        <w:rPr>
          <w:sz w:val="20"/>
          <w:szCs w:val="16"/>
        </w:rPr>
      </w:pPr>
      <w:r>
        <w:rPr>
          <w:sz w:val="20"/>
          <w:szCs w:val="16"/>
        </w:rPr>
        <w:t>Р.Г. Фахрутдинов и Р.М. Валеев приводят сообщение Масуди, согласно которому меха черных и красных лисиц вывозились в Бердаа, Хорасан, Месопотамию и  Северную Африку, безусловно, посредством Булгара. Многие исследователи, – отмечает В.В. Седов, – рассматривают русов Ибн Фадлана в качестве норманов, археологически представленные курганным могильником у с.Балымеры, который датируется по мечу типа «Е» Х. в. (Седов В.В., 2001. – С. 13 сл.).</w:t>
      </w:r>
    </w:p>
    <w:p w14:paraId="406979C2" w14:textId="227CC37A" w:rsidR="00CD484C" w:rsidRDefault="00CD484C">
      <w:pPr>
        <w:ind w:firstLine="397"/>
        <w:jc w:val="both"/>
        <w:rPr>
          <w:sz w:val="20"/>
          <w:szCs w:val="16"/>
        </w:rPr>
      </w:pPr>
      <w:r>
        <w:rPr>
          <w:sz w:val="20"/>
          <w:szCs w:val="16"/>
        </w:rPr>
        <w:t>Можно утверждать, что центрами вывоза монет в конце Х – начале XI вв. были азербайджанские Берда’а – Ардебиль, Иранские Джурджан – Амуль, а также Гургандж. Именно через Хорезм прошли последние монеты куфического типа, попавшие в Европу в кладах рассмотренных в данном очерке. Среди  них монеты Нисабура, Несы, Мерва Феравы и Джурдажана, что устанавливается по данным А.К. Маркова (1910). По этим же данным можно предположить, что существовал иной транзитный монетный поток, принесший в Северо-Западную Русь, Прибалтику и Готланд монеты в частности иракской династии Окайлидов (Марков А.К., 1910. № 116, 121, 128, 143, 175, 191, 310, 312; с. 62. № 16, 65, 100, 130, 145, 185)</w:t>
      </w:r>
      <w:r>
        <w:rPr>
          <w:rStyle w:val="a6"/>
          <w:sz w:val="20"/>
          <w:szCs w:val="16"/>
        </w:rPr>
        <w:footnoteReference w:customMarkFollows="1" w:id="89"/>
        <w:t>13</w:t>
      </w:r>
      <w:r>
        <w:rPr>
          <w:sz w:val="20"/>
          <w:szCs w:val="16"/>
        </w:rPr>
        <w:t xml:space="preserve"> и Мерванидов (Там же, № 2, 121, 142, 175, 186, 305, 313; с. 59. № 6, 19, 25, </w:t>
      </w:r>
      <w:r w:rsidR="00395416">
        <w:rPr>
          <w:noProof/>
          <w:sz w:val="20"/>
          <w:szCs w:val="16"/>
        </w:rPr>
        <mc:AlternateContent>
          <mc:Choice Requires="wps">
            <w:drawing>
              <wp:anchor distT="0" distB="0" distL="114300" distR="114300" simplePos="0" relativeHeight="251677184" behindDoc="0" locked="1" layoutInCell="1" allowOverlap="1" wp14:anchorId="65E44734" wp14:editId="75E9B975">
                <wp:simplePos x="0" y="0"/>
                <wp:positionH relativeFrom="column">
                  <wp:posOffset>19050</wp:posOffset>
                </wp:positionH>
                <wp:positionV relativeFrom="paragraph">
                  <wp:posOffset>-252730</wp:posOffset>
                </wp:positionV>
                <wp:extent cx="4095750" cy="186690"/>
                <wp:effectExtent l="0" t="1905" r="3810" b="1905"/>
                <wp:wrapNone/>
                <wp:docPr id="9782427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D5B87"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118D2F5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44734" id="Text Box 239" o:spid="_x0000_s1082" type="#_x0000_t202" style="position:absolute;left:0;text-align:left;margin-left:1.5pt;margin-top:-19.9pt;width:322.5pt;height:14.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" stroked="f">
                <v:textbox inset="0,0,0,0">
                  <w:txbxContent>
                    <w:p w14:paraId="4D5D5B87" w14:textId="77777777" w:rsidR="00AE2133" w:rsidRDefault="00AE2133">
                      <w:pPr>
                        <w:pStyle w:val="a3"/>
                        <w:spacing w:before="0" w:after="0"/>
                        <w:rPr>
                          <w:szCs w:val="24"/>
                          <w:u w:val="single"/>
                        </w:rPr>
                      </w:pPr>
                      <w:r>
                        <w:rPr>
                          <w:szCs w:val="24"/>
                          <w:u w:val="single"/>
                        </w:rPr>
                        <w:t xml:space="preserve">                Очерк  5. Торговые связи Центральной Азии…      </w:t>
                      </w:r>
                      <w:r>
                        <w:rPr>
                          <w:szCs w:val="24"/>
                          <w:u w:val="single"/>
                        </w:rPr>
                        <w:tab/>
                        <w:t xml:space="preserve">        </w:t>
                      </w:r>
                    </w:p>
                    <w:p w14:paraId="118D2F59" w14:textId="77777777" w:rsidR="00AE2133" w:rsidRDefault="00AE2133">
                      <w:pPr>
                        <w:rPr>
                          <w:b/>
                          <w:bCs/>
                          <w:sz w:val="2"/>
                          <w:u w:val="single"/>
                        </w:rPr>
                      </w:pPr>
                    </w:p>
                  </w:txbxContent>
                </v:textbox>
                <w10:anchorlock/>
              </v:shape>
            </w:pict>
          </mc:Fallback>
        </mc:AlternateContent>
      </w:r>
      <w:r>
        <w:rPr>
          <w:sz w:val="20"/>
          <w:szCs w:val="16"/>
        </w:rPr>
        <w:t xml:space="preserve">90, 105, 170, 189, 193, 214, 232), не представленные в кладах, выпавшие на средней Волге на рубеже Х–XI вв., в то время как  монеты Илеков (Караханидов) </w:t>
      </w:r>
      <w:r>
        <w:rPr>
          <w:sz w:val="20"/>
          <w:szCs w:val="16"/>
        </w:rPr>
        <w:lastRenderedPageBreak/>
        <w:t>(381–607/991–1211) помимо средней Волги осели в Белоруссии,  Псковщине, Готланде, Финляндии и в Приладожье (Там же, № 6, 173, 175, 313, с. 59, № 6, 9, 117).</w:t>
      </w:r>
    </w:p>
    <w:p w14:paraId="2970E6A3" w14:textId="77777777" w:rsidR="00CD484C" w:rsidRDefault="00CD484C">
      <w:pPr>
        <w:pStyle w:val="a5"/>
        <w:ind w:firstLine="397"/>
        <w:jc w:val="both"/>
        <w:rPr>
          <w:szCs w:val="16"/>
        </w:rPr>
      </w:pPr>
      <w:r>
        <w:rPr>
          <w:szCs w:val="16"/>
        </w:rPr>
        <w:t>Если на Востоке, пишет Б.И. Маршак, престижным считались меха и оружие, то на севере – серебро (Сокровище Приобья, 1996. – С. 7), но поздняя эпоха викингов и изменение лигатуры чеканки и метрологии, повлекшее за собой трансформацию монетной стопы в государствах Центральной Азии и Ирана, как установил В.Л. Янин (1956. – С. 134, 152) сделали свое дело. С приходом Буидов к власти в Иране, – пишет О.Г. Большаков, – буидский динар содержал от 0,5 до 2/3 меди, а на рубеже Х-XI вв. на Ближнем и Среднем Востоке происходит повсеместное ухудшение качества драхмы, содержание серебра в которой падает до 30% (Большаков О.Г., 1984. – С. 152, 157). Дирхемы Маверанахра XI в., участвующие во внутреннем денежного обращении, как установила Е.А. Давидович (1960. – С. 92–93), до начала второго десятилетия XII в. содержали медь 12%, а затем ее процент увеличился до 35–40%. Монеты кладов, приведенные выше, как, впрочем, и монеты аналогичного краснобаранскому кладу, найденному в Билярске в 2001 г. (Беговатов Е.А., 2003. – С. 71–72), атрибутированному лишь предварительно, также отчеканены из биллона. В этой связи, в Древней Руси роль и значение заменителей денег в рассматриваемый период времени, по-видимому, даже возрастало. Уже замечено, что расцвет торговли ближне- и средневосточными бусами падает на XI в. «Весовая» норма стеклянных бус с металлической прокладкой имеет 2 стандарта в районе 0,7–0,8 и 1–1,3 г (Фехнер М.В., 1959. – С. 166). Изменение форм платежа привело, вероятно, к изменению торговли на всем Волжском пути, что произошло в конце Х в. – XII вв. (Мишин Д.Е., 2002. – С. 182–183).</w:t>
      </w:r>
    </w:p>
    <w:p w14:paraId="6B4CC8EA" w14:textId="77777777" w:rsidR="00CD484C" w:rsidRDefault="00CD484C">
      <w:pPr>
        <w:spacing w:after="120"/>
        <w:ind w:firstLine="397"/>
        <w:jc w:val="both"/>
        <w:rPr>
          <w:sz w:val="20"/>
          <w:szCs w:val="16"/>
        </w:rPr>
      </w:pPr>
      <w:r>
        <w:rPr>
          <w:sz w:val="20"/>
          <w:szCs w:val="16"/>
        </w:rPr>
        <w:t>Рассмотренные в данном очерке клады, являющиеся памятниками внутреннего денежного обращения, транзитной торговли, – следствие эмиссии стран-экспортеров, выступая материальным свидетельством перевода средств из обращения в сбережение  отражают отложенный спрос на валютный металл на всех взаимосвязанных валютных рынках в период смены правящих династий на Востоке и переориентацию рынков в Европе и Среднем Востоке.</w:t>
      </w:r>
    </w:p>
    <w:p w14:paraId="7BC4A0B5" w14:textId="77777777" w:rsidR="00CD484C" w:rsidRDefault="00CD484C">
      <w:pPr>
        <w:spacing w:after="120"/>
        <w:ind w:firstLine="397"/>
        <w:jc w:val="both"/>
        <w:rPr>
          <w:sz w:val="20"/>
          <w:szCs w:val="16"/>
        </w:rPr>
      </w:pPr>
    </w:p>
    <w:p w14:paraId="41562894" w14:textId="77777777" w:rsidR="00CD484C" w:rsidRDefault="00CD484C">
      <w:pPr>
        <w:spacing w:after="120"/>
        <w:ind w:firstLine="397"/>
        <w:jc w:val="both"/>
        <w:rPr>
          <w:sz w:val="20"/>
          <w:szCs w:val="16"/>
        </w:rPr>
      </w:pPr>
    </w:p>
    <w:p w14:paraId="215F941A" w14:textId="77777777" w:rsidR="00CD484C" w:rsidRDefault="00CD484C">
      <w:pPr>
        <w:spacing w:after="120"/>
        <w:ind w:firstLine="397"/>
        <w:jc w:val="both"/>
        <w:rPr>
          <w:sz w:val="20"/>
          <w:szCs w:val="16"/>
        </w:rPr>
      </w:pPr>
    </w:p>
    <w:p w14:paraId="6AC17738" w14:textId="77777777" w:rsidR="00CD484C" w:rsidRDefault="00CD484C">
      <w:pPr>
        <w:spacing w:after="120"/>
        <w:ind w:firstLine="397"/>
        <w:jc w:val="both"/>
        <w:rPr>
          <w:sz w:val="20"/>
          <w:szCs w:val="16"/>
        </w:rPr>
      </w:pPr>
    </w:p>
    <w:p w14:paraId="1B078E04" w14:textId="77777777" w:rsidR="00CD484C" w:rsidRDefault="00CD484C">
      <w:pPr>
        <w:spacing w:after="120"/>
        <w:ind w:firstLine="397"/>
        <w:jc w:val="both"/>
        <w:rPr>
          <w:sz w:val="20"/>
          <w:szCs w:val="16"/>
        </w:rPr>
      </w:pPr>
    </w:p>
    <w:p w14:paraId="0BDFEDCC" w14:textId="77777777" w:rsidR="00CD484C" w:rsidRDefault="00CD484C">
      <w:pPr>
        <w:pStyle w:val="a3"/>
      </w:pPr>
      <w:r>
        <w:lastRenderedPageBreak/>
        <w:t>ВМЕСТО ЗАКЛЮЧЕНИЯ</w:t>
      </w:r>
    </w:p>
    <w:p w14:paraId="28B26362" w14:textId="77777777" w:rsidR="00CD484C" w:rsidRDefault="00CD484C">
      <w:pPr>
        <w:ind w:firstLine="397"/>
        <w:jc w:val="both"/>
        <w:rPr>
          <w:sz w:val="20"/>
          <w:szCs w:val="16"/>
        </w:rPr>
      </w:pPr>
      <w:r>
        <w:rPr>
          <w:sz w:val="20"/>
          <w:szCs w:val="16"/>
        </w:rPr>
        <w:t>Приведенные в данной книге очерки далеки еще от завершения. Автор ставил своей целью обратить внимание на возможность изучения кладов с куфическим монетами, выпавшие на территории Восточной Европы, методом эмиссионного распределения. Как оказалось, выявление только лишь количественных показателей распределений монет кладов, по дворам их эмитировавших, может привести к важной, но в настоящее время трудно достижимой задаче – установление эмиссионной мощности того или иного монетного двора. Поэтому, прибегнув к комплексному изучению источника уже апробированными методиками, при учете даты младшей монеты, удалось показать, что формирование тех или иных денежных депозитов, как на первых рынках, так и в процессе перемещения монетного потока, потребители не обращали на место чекана монеты,  а приобретали на рынке уже обращавшиеся там дирхемы. Формирование депозитов, таким образом, зависело от степени насыщения рынков новыми денежными знаками.</w:t>
      </w:r>
    </w:p>
    <w:p w14:paraId="5E9B69E3" w14:textId="77777777" w:rsidR="00CD484C" w:rsidRDefault="00CD484C">
      <w:pPr>
        <w:ind w:firstLine="397"/>
        <w:jc w:val="both"/>
        <w:rPr>
          <w:sz w:val="20"/>
          <w:szCs w:val="16"/>
        </w:rPr>
      </w:pPr>
      <w:r>
        <w:rPr>
          <w:sz w:val="20"/>
          <w:szCs w:val="16"/>
        </w:rPr>
        <w:t xml:space="preserve">Изучение эмиссионного распределения первого Староладожского клада 1892 г. показывает перспективность дальнейшего изучения процесса становления денежного обращения в Восточной Европе,  где монета африканского чекана проходила первоначально через рынок Багдада. Уже из Багдада, захватывая монеты прикаспийского Табаристана, средиземноморская монета устремлялась в Европу. Таким образом, состав монетных дворов европейских кладов позволит в ближайшей перспективе не только установить эмиссию Багдада в период, соответствующий хронологии клада 1892 г., но показать роль африканской монеты в его насыщении. Это тем более интересно, поскольку известно, что торговля Ирака по данным письменных источников больше зависела от импорта, чем экспорта  (Le Strange G., 1966. – Р. 81–82). </w:t>
      </w:r>
    </w:p>
    <w:p w14:paraId="0B3A07A7" w14:textId="372ED4DF" w:rsidR="00CD484C" w:rsidRDefault="00CD484C">
      <w:pPr>
        <w:ind w:firstLine="397"/>
        <w:jc w:val="both"/>
        <w:rPr>
          <w:sz w:val="20"/>
          <w:szCs w:val="16"/>
        </w:rPr>
      </w:pPr>
      <w:r>
        <w:rPr>
          <w:sz w:val="20"/>
          <w:szCs w:val="16"/>
        </w:rPr>
        <w:t xml:space="preserve"> В результате распределения по монетным дворам удалось выделить и картографировать монетные потоки конца IX – начала X в., когда саманидская монета маверанахрской чеканки поступала в Европу из двух монетных дворов – Самарканда и аш-Шаша. Денежное обращение Мавера</w:t>
      </w:r>
      <w:r w:rsidR="00395416">
        <w:rPr>
          <w:noProof/>
          <w:sz w:val="20"/>
          <w:szCs w:val="16"/>
        </w:rPr>
        <mc:AlternateContent>
          <mc:Choice Requires="wps">
            <w:drawing>
              <wp:anchor distT="0" distB="0" distL="114300" distR="114300" simplePos="0" relativeHeight="251678208" behindDoc="0" locked="1" layoutInCell="1" allowOverlap="1" wp14:anchorId="018C9007" wp14:editId="347CEA21">
                <wp:simplePos x="0" y="0"/>
                <wp:positionH relativeFrom="column">
                  <wp:posOffset>0</wp:posOffset>
                </wp:positionH>
                <wp:positionV relativeFrom="paragraph">
                  <wp:posOffset>-252730</wp:posOffset>
                </wp:positionV>
                <wp:extent cx="4095750" cy="186690"/>
                <wp:effectExtent l="0" t="1905" r="3810" b="1905"/>
                <wp:wrapNone/>
                <wp:docPr id="175176747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9D25B" w14:textId="77777777" w:rsidR="00AE2133" w:rsidRDefault="00AE2133">
                            <w:pPr>
                              <w:pStyle w:val="a3"/>
                              <w:spacing w:before="0" w:after="0"/>
                              <w:rPr>
                                <w:szCs w:val="24"/>
                                <w:u w:val="single"/>
                              </w:rPr>
                            </w:pPr>
                            <w:r>
                              <w:rPr>
                                <w:szCs w:val="24"/>
                                <w:u w:val="single"/>
                              </w:rPr>
                              <w:t xml:space="preserve">                                         Вместо заключения                                 </w:t>
                            </w:r>
                            <w:r>
                              <w:rPr>
                                <w:szCs w:val="24"/>
                                <w:u w:val="single"/>
                              </w:rPr>
                              <w:tab/>
                              <w:t xml:space="preserve">        </w:t>
                            </w:r>
                          </w:p>
                          <w:p w14:paraId="43E7D330"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C9007" id="Text Box 240" o:spid="_x0000_s1083" type="#_x0000_t202" style="position:absolute;left:0;text-align:left;margin-left:0;margin-top:-19.9pt;width:322.5pt;height:14.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pADlo7wEAAMIDAAAOAAAAAAAAAAAAAAAAAC4CAABkcnMvZTJv&#10;RG9jLnhtbFBLAQItABQABgAIAAAAIQCnTgMH3gAAAAgBAAAPAAAAAAAAAAAAAAAAAEkEAABkcnMv&#10;ZG93bnJldi54bWxQSwUGAAAAAAQABADzAAAAVAUAAAAA&#10;" stroked="f">
                <v:textbox inset="0,0,0,0">
                  <w:txbxContent>
                    <w:p w14:paraId="4F59D25B" w14:textId="77777777" w:rsidR="00AE2133" w:rsidRDefault="00AE2133">
                      <w:pPr>
                        <w:pStyle w:val="a3"/>
                        <w:spacing w:before="0" w:after="0"/>
                        <w:rPr>
                          <w:szCs w:val="24"/>
                          <w:u w:val="single"/>
                        </w:rPr>
                      </w:pPr>
                      <w:r>
                        <w:rPr>
                          <w:szCs w:val="24"/>
                          <w:u w:val="single"/>
                        </w:rPr>
                        <w:t xml:space="preserve">                                         Вместо заключения                                 </w:t>
                      </w:r>
                      <w:r>
                        <w:rPr>
                          <w:szCs w:val="24"/>
                          <w:u w:val="single"/>
                        </w:rPr>
                        <w:tab/>
                        <w:t xml:space="preserve">        </w:t>
                      </w:r>
                    </w:p>
                    <w:p w14:paraId="43E7D330" w14:textId="77777777" w:rsidR="00AE2133" w:rsidRDefault="00AE2133">
                      <w:pPr>
                        <w:rPr>
                          <w:b/>
                          <w:bCs/>
                          <w:sz w:val="2"/>
                          <w:u w:val="single"/>
                        </w:rPr>
                      </w:pPr>
                    </w:p>
                  </w:txbxContent>
                </v:textbox>
                <w10:anchorlock/>
              </v:shape>
            </w:pict>
          </mc:Fallback>
        </mc:AlternateContent>
      </w:r>
      <w:r>
        <w:rPr>
          <w:sz w:val="20"/>
          <w:szCs w:val="16"/>
        </w:rPr>
        <w:t xml:space="preserve">нахра в данный период обеспечивалось, согласно Е.А. Давидович, исключительно дирхемами-исмаили. Изучение депозитов в Азербайджане, Армении и на нижней Волге показало, что ближняя циркумкаспийская зона находилась в сфере влияния дирхема Самарканда. В то время, как монета аш-Шаша поступала в Европу самостоятельно по Сыр-Дарье и далее через казахстанские степи на Волгу и Оку, а лишь затем, в Прибалтику и далее Западную Европу. Превалирование в рассмотренных кладовых комплексах шашского дирхема над самаркандским в первом двадцатилетии Х в., как здесь показано, должно быть рассмотрено на синхронных и более поздних кладовых комплексах. Не забудем, что экономическая политика Саманидов начала X в. заслуживает отдельного изучения, хотя синхронность проникновения </w:t>
      </w:r>
      <w:r>
        <w:rPr>
          <w:sz w:val="20"/>
          <w:szCs w:val="16"/>
        </w:rPr>
        <w:lastRenderedPageBreak/>
        <w:t>саманидской монеты в Центральный Иран и наступление здесь Насра б. Ахмеда не должна быть оставлена без внимания. Разумеется, что в дальнейшем следует конкретизировать типологию кладов, выпавших во втором десятилетии Х в. в Восточной Европе, хотя ее применеие позволяет охарактеризовать те, рынки, где клады, как исторические источники изучены еще недостаточно. Поэтому, представляется, что уровни связей монетных дворов, типы денежных депозитов, а также пути поступления монеты в Европу, выявленные на кладах короткого накопления начала Х в. могут представлять определенный интерес для дальнейших разработок.</w:t>
      </w:r>
    </w:p>
    <w:p w14:paraId="4C445182" w14:textId="77777777" w:rsidR="00CD484C" w:rsidRDefault="00CD484C">
      <w:pPr>
        <w:ind w:firstLine="397"/>
        <w:jc w:val="both"/>
        <w:rPr>
          <w:sz w:val="20"/>
          <w:szCs w:val="16"/>
        </w:rPr>
      </w:pPr>
      <w:r>
        <w:rPr>
          <w:sz w:val="20"/>
          <w:szCs w:val="16"/>
        </w:rPr>
        <w:t xml:space="preserve">Историко-нумизматическое изучение кладовых комплексов куфических монет, выпавших в Азербайджане, которые, имея одну и ту же дату 342/954 г. показывают, что в отличие от синхронных кладов Восточной Европы, денежное обращение в Закавказье достаточно долго удерживало в своем обращении монеты предшествующих чеканов. Но, стремительный напор монет новых эмиссий, прежде всего, Буидов вкупе с самаркандским дирхемом превысил объем рынка, обеспечив транзит саманидо-бувейхидского монетного материала в Европу. В этой связи, династийное изучение кладов, широко практикующееся в практике современных исследований, может привести к выявлению новых монетных потоков восточных монет в Европе. Материалы кладов Армении и Азербайджана  позволяют существенно прояснить детали распада Арабского халифата и историю возникновения и правления местных династий. Она дают раритеные нумизматические артефакты по истории денежного обращения и политической истории Среднего Востока  первой половины Х в. </w:t>
      </w:r>
    </w:p>
    <w:p w14:paraId="73F7B8C6" w14:textId="77777777" w:rsidR="00CD484C" w:rsidRDefault="00CD484C">
      <w:pPr>
        <w:ind w:firstLine="397"/>
        <w:jc w:val="both"/>
        <w:rPr>
          <w:sz w:val="20"/>
          <w:szCs w:val="16"/>
        </w:rPr>
      </w:pPr>
      <w:r>
        <w:rPr>
          <w:sz w:val="20"/>
          <w:szCs w:val="16"/>
        </w:rPr>
        <w:t>Анализ династийного распределения в его процентном соотношении позволяет синхронизировать азербайджанские клады со старшей частью одного из клада, найденного на острове Готланд 1844 г., позволяющее, на наш взгляд, высказать предположение о существовании потока саманидо-бувейхидских монет вдоль западного побережья Каспия через Дербенд в Европу.</w:t>
      </w:r>
    </w:p>
    <w:p w14:paraId="017867E3" w14:textId="77777777" w:rsidR="00CD484C" w:rsidRDefault="00CD484C">
      <w:pPr>
        <w:ind w:firstLine="397"/>
        <w:jc w:val="both"/>
        <w:rPr>
          <w:sz w:val="20"/>
          <w:szCs w:val="16"/>
        </w:rPr>
      </w:pPr>
      <w:r>
        <w:rPr>
          <w:sz w:val="20"/>
          <w:szCs w:val="16"/>
        </w:rPr>
        <w:t>Истощение рудников в горах Карамазара, а также интенсивная эксплуатация монетной регалии в странах бывшего Халифата, привела к ухудшению качества монеты и даже, как заметил В.Л. Янин, изменению монетной стопы в государствах-поставщиках саманидских дирхемов в Европу. Кладовые комплексы конца X – начала XI в., выпавшие как на средней Волге, так и в Маверанахре, наглядно демонстрируют, что отток денежной массы не привел к дефициту металлических средств платежа во внутреннем денежном обращениа. Эмиссионное распределение рассмотренных комплексов и изучение династийного составов демонстрирует, что новые династии как Симджуриды, так и Караханиды еще не установив окончательно свою власть в Центральной Азии, продолжили традицию торгово-</w:t>
      </w:r>
      <w:r>
        <w:rPr>
          <w:sz w:val="20"/>
          <w:szCs w:val="16"/>
        </w:rPr>
        <w:lastRenderedPageBreak/>
        <w:t>экономических связей с Севером, что даже, как известно из письменных источников, имело и обратную связь.</w:t>
      </w:r>
    </w:p>
    <w:p w14:paraId="03362EEF" w14:textId="77777777" w:rsidR="00CD484C" w:rsidRDefault="00CD484C">
      <w:pPr>
        <w:ind w:firstLine="397"/>
        <w:jc w:val="both"/>
        <w:rPr>
          <w:sz w:val="20"/>
          <w:szCs w:val="16"/>
        </w:rPr>
      </w:pPr>
      <w:r>
        <w:rPr>
          <w:sz w:val="20"/>
          <w:szCs w:val="16"/>
        </w:rPr>
        <w:t>Все хронологические распределения кладов, приведенных в работе, осуществлялись исходя из приоритета младшей монеты /ММ/, которые позволило получить реальную картину распределения денежных знаков по условным периодам, т.е. более точно выявить определяющие хронологические группы монет денежных депозитов. Как показывают материалы, приведенные, в частности, по кладам. Чистопольскому, Абрлыги и Крещенный (Красный) баран, такой подход методически себя оправдал, поскольку продемонстрировал возможность синхронного изучения депозита, выпавшие как на первых денежных ранках, так и на родине-эмитенте. Особенность применения подобных распределений состоит в том, что предполагает точное соотношение кладовых комплексов, имеющие близкие даты ММ, что в конечном итоге позволяет получить определенный показатель – коэффициент смены хронологического составов, т.е. охарактеризовать численно степень изменения состава денежного обращения и его скорость. Статистические наблюдения, проделанные в настоящей работе, показывают на необходимость дальнейшего накопления эмпирического материала в данном направлении.</w:t>
      </w:r>
    </w:p>
    <w:p w14:paraId="50B33488" w14:textId="77777777" w:rsidR="00CD484C" w:rsidRDefault="00CD484C">
      <w:pPr>
        <w:ind w:firstLine="397"/>
        <w:jc w:val="both"/>
        <w:rPr>
          <w:sz w:val="20"/>
          <w:szCs w:val="16"/>
        </w:rPr>
      </w:pPr>
      <w:r>
        <w:rPr>
          <w:sz w:val="20"/>
          <w:szCs w:val="16"/>
        </w:rPr>
        <w:tab/>
      </w:r>
      <w:r>
        <w:rPr>
          <w:sz w:val="20"/>
          <w:szCs w:val="16"/>
        </w:rPr>
        <w:tab/>
      </w:r>
      <w:r>
        <w:rPr>
          <w:sz w:val="20"/>
          <w:szCs w:val="16"/>
        </w:rPr>
        <w:tab/>
      </w:r>
      <w:r>
        <w:rPr>
          <w:sz w:val="20"/>
          <w:szCs w:val="16"/>
        </w:rPr>
        <w:tab/>
      </w:r>
      <w:r>
        <w:rPr>
          <w:sz w:val="20"/>
          <w:szCs w:val="16"/>
        </w:rPr>
        <w:tab/>
      </w:r>
    </w:p>
    <w:p w14:paraId="05F3231B" w14:textId="77777777" w:rsidR="00CD484C" w:rsidRDefault="00CD484C">
      <w:pPr>
        <w:ind w:firstLine="397"/>
        <w:jc w:val="right"/>
        <w:rPr>
          <w:sz w:val="20"/>
          <w:szCs w:val="16"/>
        </w:rPr>
      </w:pPr>
      <w:r>
        <w:rPr>
          <w:i/>
          <w:sz w:val="20"/>
          <w:szCs w:val="16"/>
        </w:rPr>
        <w:t>Киров – Москва 2000–2004</w:t>
      </w:r>
      <w:r>
        <w:rPr>
          <w:sz w:val="20"/>
          <w:szCs w:val="16"/>
        </w:rPr>
        <w:t xml:space="preserve"> </w:t>
      </w:r>
      <w:r>
        <w:rPr>
          <w:i/>
          <w:iCs/>
          <w:sz w:val="20"/>
          <w:szCs w:val="16"/>
        </w:rPr>
        <w:t>г.</w:t>
      </w:r>
    </w:p>
    <w:p w14:paraId="5B9677EE" w14:textId="77777777" w:rsidR="00CD484C" w:rsidRDefault="00CD484C">
      <w:pPr>
        <w:ind w:firstLine="397"/>
        <w:jc w:val="both"/>
        <w:rPr>
          <w:sz w:val="20"/>
          <w:szCs w:val="16"/>
        </w:rPr>
      </w:pPr>
    </w:p>
    <w:p w14:paraId="3683DD59" w14:textId="77777777" w:rsidR="00CD484C" w:rsidRDefault="00CD484C">
      <w:pPr>
        <w:ind w:firstLine="397"/>
        <w:jc w:val="both"/>
        <w:rPr>
          <w:sz w:val="20"/>
          <w:szCs w:val="16"/>
        </w:rPr>
      </w:pPr>
    </w:p>
    <w:p w14:paraId="7BCF6AC8" w14:textId="77777777" w:rsidR="00CD484C" w:rsidRDefault="00CD484C">
      <w:pPr>
        <w:ind w:firstLine="397"/>
        <w:jc w:val="both"/>
        <w:rPr>
          <w:sz w:val="20"/>
          <w:szCs w:val="16"/>
        </w:rPr>
      </w:pPr>
    </w:p>
    <w:p w14:paraId="5F40777C" w14:textId="77777777" w:rsidR="00CD484C" w:rsidRDefault="00CD484C">
      <w:pPr>
        <w:ind w:firstLine="397"/>
        <w:jc w:val="both"/>
        <w:rPr>
          <w:sz w:val="20"/>
          <w:szCs w:val="16"/>
        </w:rPr>
      </w:pPr>
    </w:p>
    <w:p w14:paraId="4734C190" w14:textId="77777777" w:rsidR="00CD484C" w:rsidRDefault="00CD484C">
      <w:pPr>
        <w:ind w:firstLine="397"/>
        <w:jc w:val="both"/>
        <w:rPr>
          <w:sz w:val="20"/>
          <w:szCs w:val="16"/>
        </w:rPr>
      </w:pPr>
    </w:p>
    <w:p w14:paraId="4DF29245" w14:textId="77777777" w:rsidR="00CD484C" w:rsidRDefault="00CD484C">
      <w:pPr>
        <w:ind w:firstLine="397"/>
        <w:jc w:val="both"/>
        <w:rPr>
          <w:sz w:val="20"/>
          <w:szCs w:val="16"/>
        </w:rPr>
      </w:pPr>
    </w:p>
    <w:p w14:paraId="6DE23C8D" w14:textId="77777777" w:rsidR="00CD484C" w:rsidRDefault="00CD484C">
      <w:pPr>
        <w:ind w:firstLine="397"/>
        <w:jc w:val="both"/>
        <w:rPr>
          <w:sz w:val="20"/>
          <w:szCs w:val="16"/>
        </w:rPr>
      </w:pPr>
    </w:p>
    <w:p w14:paraId="1B39E51C" w14:textId="77777777" w:rsidR="00CD484C" w:rsidRDefault="00CD484C">
      <w:pPr>
        <w:ind w:firstLine="397"/>
        <w:jc w:val="both"/>
        <w:rPr>
          <w:sz w:val="20"/>
          <w:szCs w:val="16"/>
        </w:rPr>
      </w:pPr>
    </w:p>
    <w:p w14:paraId="17172EA1" w14:textId="77777777" w:rsidR="00CD484C" w:rsidRDefault="00CD484C">
      <w:pPr>
        <w:ind w:firstLine="397"/>
        <w:jc w:val="both"/>
        <w:rPr>
          <w:sz w:val="20"/>
          <w:szCs w:val="16"/>
        </w:rPr>
      </w:pPr>
    </w:p>
    <w:p w14:paraId="6F648697" w14:textId="77777777" w:rsidR="00CD484C" w:rsidRDefault="00CD484C">
      <w:pPr>
        <w:ind w:firstLine="397"/>
        <w:jc w:val="both"/>
        <w:rPr>
          <w:sz w:val="20"/>
          <w:szCs w:val="16"/>
        </w:rPr>
      </w:pPr>
    </w:p>
    <w:p w14:paraId="7E8C4038" w14:textId="77777777" w:rsidR="00CD484C" w:rsidRDefault="00CD484C">
      <w:pPr>
        <w:ind w:firstLine="397"/>
        <w:jc w:val="both"/>
        <w:rPr>
          <w:sz w:val="20"/>
          <w:szCs w:val="16"/>
        </w:rPr>
      </w:pPr>
    </w:p>
    <w:p w14:paraId="65889DCD" w14:textId="77777777" w:rsidR="00CD484C" w:rsidRDefault="00CD484C">
      <w:pPr>
        <w:pStyle w:val="a3"/>
        <w:tabs>
          <w:tab w:val="left" w:pos="540"/>
        </w:tabs>
        <w:ind w:firstLine="397"/>
        <w:jc w:val="left"/>
        <w:rPr>
          <w:b w:val="0"/>
          <w:bCs w:val="0"/>
          <w:i/>
          <w:iCs/>
          <w:u w:val="single"/>
        </w:rPr>
      </w:pPr>
      <w:r>
        <w:rPr>
          <w:b w:val="0"/>
          <w:bCs w:val="0"/>
          <w:i/>
          <w:iCs/>
          <w:u w:val="single"/>
        </w:rPr>
        <w:lastRenderedPageBreak/>
        <w:t>ПРИЛОЖЕНИЕ 1</w:t>
      </w:r>
    </w:p>
    <w:p w14:paraId="451AAC3F" w14:textId="1CE74F56" w:rsidR="00CD484C" w:rsidRDefault="00395416">
      <w:pPr>
        <w:pStyle w:val="2"/>
        <w:spacing w:before="240" w:after="120"/>
        <w:ind w:firstLine="0"/>
      </w:pPr>
      <w:r>
        <w:rPr>
          <w:noProof/>
        </w:rPr>
        <mc:AlternateContent>
          <mc:Choice Requires="wps">
            <w:drawing>
              <wp:anchor distT="0" distB="0" distL="114300" distR="114300" simplePos="0" relativeHeight="251679232" behindDoc="0" locked="1" layoutInCell="1" allowOverlap="1" wp14:anchorId="087E12DF" wp14:editId="562D24BD">
                <wp:simplePos x="0" y="0"/>
                <wp:positionH relativeFrom="column">
                  <wp:posOffset>0</wp:posOffset>
                </wp:positionH>
                <wp:positionV relativeFrom="paragraph">
                  <wp:posOffset>-1931035</wp:posOffset>
                </wp:positionV>
                <wp:extent cx="4095750" cy="186690"/>
                <wp:effectExtent l="0" t="1905" r="3810" b="1905"/>
                <wp:wrapNone/>
                <wp:docPr id="1299329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27214" w14:textId="77777777" w:rsidR="00AE2133" w:rsidRDefault="00AE2133">
                            <w:pPr>
                              <w:pStyle w:val="a3"/>
                              <w:spacing w:before="0" w:after="0"/>
                              <w:rPr>
                                <w:szCs w:val="24"/>
                                <w:u w:val="single"/>
                              </w:rPr>
                            </w:pPr>
                            <w:r>
                              <w:rPr>
                                <w:szCs w:val="24"/>
                                <w:u w:val="single"/>
                              </w:rPr>
                              <w:t xml:space="preserve">            Приложение 1. Хронологическая структура клада…</w:t>
                            </w:r>
                            <w:r>
                              <w:rPr>
                                <w:szCs w:val="24"/>
                                <w:u w:val="single"/>
                              </w:rPr>
                              <w:tab/>
                              <w:t xml:space="preserve">                                  </w:t>
                            </w:r>
                            <w:r>
                              <w:rPr>
                                <w:szCs w:val="24"/>
                                <w:u w:val="single"/>
                              </w:rPr>
                              <w:tab/>
                              <w:t xml:space="preserve">        </w:t>
                            </w:r>
                          </w:p>
                          <w:p w14:paraId="2ACF668C"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12DF" id="Text Box 241" o:spid="_x0000_s1084" type="#_x0000_t202" style="position:absolute;left:0;text-align:left;margin-left:0;margin-top:-152.05pt;width:322.5pt;height:14.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" stroked="f">
                <v:textbox inset="0,0,0,0">
                  <w:txbxContent>
                    <w:p w14:paraId="7AB27214" w14:textId="77777777" w:rsidR="00AE2133" w:rsidRDefault="00AE2133">
                      <w:pPr>
                        <w:pStyle w:val="a3"/>
                        <w:spacing w:before="0" w:after="0"/>
                        <w:rPr>
                          <w:szCs w:val="24"/>
                          <w:u w:val="single"/>
                        </w:rPr>
                      </w:pPr>
                      <w:r>
                        <w:rPr>
                          <w:szCs w:val="24"/>
                          <w:u w:val="single"/>
                        </w:rPr>
                        <w:t xml:space="preserve">            Приложение 1. Хронологическая структура клада…</w:t>
                      </w:r>
                      <w:r>
                        <w:rPr>
                          <w:szCs w:val="24"/>
                          <w:u w:val="single"/>
                        </w:rPr>
                        <w:tab/>
                        <w:t xml:space="preserve">                                  </w:t>
                      </w:r>
                      <w:r>
                        <w:rPr>
                          <w:szCs w:val="24"/>
                          <w:u w:val="single"/>
                        </w:rPr>
                        <w:tab/>
                        <w:t xml:space="preserve">        </w:t>
                      </w:r>
                    </w:p>
                    <w:p w14:paraId="2ACF668C" w14:textId="77777777" w:rsidR="00AE2133" w:rsidRDefault="00AE2133">
                      <w:pPr>
                        <w:rPr>
                          <w:b/>
                          <w:bCs/>
                          <w:sz w:val="2"/>
                          <w:u w:val="single"/>
                        </w:rPr>
                      </w:pPr>
                    </w:p>
                  </w:txbxContent>
                </v:textbox>
                <w10:anchorlock/>
              </v:shape>
            </w:pict>
          </mc:Fallback>
        </mc:AlternateContent>
      </w:r>
      <w:r w:rsidR="00CD484C">
        <w:t>ХРОНОЛОГИЧЕСКАЯ СТРУКТУРА КЛАДА ВЕЛЛА</w:t>
      </w:r>
    </w:p>
    <w:p w14:paraId="2B4EC082" w14:textId="77777777" w:rsidR="00CD484C" w:rsidRDefault="00CD484C">
      <w:pPr>
        <w:ind w:firstLine="397"/>
        <w:jc w:val="both"/>
        <w:rPr>
          <w:sz w:val="20"/>
          <w:szCs w:val="16"/>
        </w:rPr>
      </w:pPr>
      <w:r>
        <w:rPr>
          <w:sz w:val="20"/>
          <w:szCs w:val="16"/>
        </w:rPr>
        <w:t xml:space="preserve">Иноземная монета, служившая, как известно материальным носителем русского денежного обращения с последней трети VIII по второе десятилетие XI в., что следует из работ Р.Р. Фасмера и В.Л. Янина, представляет, несомненно,  благодарный объект изучения денежного обращения. В его изучении как пишет А.В. Фомин, должны быть использованы «...ясные, простые в применении и наглядные приемы» (Фомин А.В., 1995. – С. 65). </w:t>
      </w:r>
    </w:p>
    <w:p w14:paraId="073C09FB" w14:textId="77777777" w:rsidR="00CD484C" w:rsidRDefault="00CD484C">
      <w:pPr>
        <w:ind w:firstLine="397"/>
        <w:jc w:val="both"/>
        <w:rPr>
          <w:spacing w:val="-2"/>
          <w:sz w:val="20"/>
          <w:szCs w:val="16"/>
        </w:rPr>
      </w:pPr>
      <w:r>
        <w:rPr>
          <w:spacing w:val="-2"/>
          <w:sz w:val="20"/>
          <w:szCs w:val="16"/>
        </w:rPr>
        <w:t xml:space="preserve">При изучении изменения династийного состава кладов с куфическими монетами в Восточной Европе В.Л. Янин подчеркивает аналогичные закономерности изменения данного состава, присущие и изменениям в хронологическом составе. Смена династий на Востоке, когда состав русского денежного обращения  согласно  принципам изменения хронологического состава, изменялся в соответствии с мощностью стартового импульса, проводившиеся определенной династией соответствующего монетного двора, создавая в династийном составе русских кладов «свои неповторимые сочетания монет разных династий» (Янин В.Л., 1956. – С. 69).  </w:t>
      </w:r>
    </w:p>
    <w:p w14:paraId="255791FD" w14:textId="77777777" w:rsidR="00CD484C" w:rsidRDefault="00CD484C">
      <w:pPr>
        <w:ind w:firstLine="397"/>
        <w:jc w:val="both"/>
        <w:rPr>
          <w:sz w:val="20"/>
          <w:szCs w:val="16"/>
        </w:rPr>
      </w:pPr>
      <w:r>
        <w:rPr>
          <w:sz w:val="20"/>
          <w:szCs w:val="16"/>
        </w:rPr>
        <w:t xml:space="preserve">«В кладах Х1 в. появляются монеты таких династий, которых еще не знали и не могли знать клады Х в..., занесенные в Восточную Европу последней слабой волной восточного серебра» (Янин В.Л., 1956. – С. 70). Различные источники поступления монетной массы в Европу, а также эмиссия собственной монеты в важнейшем перевалочном центре Европы  – Волжской Булгарии, позволяет по нашему мнению, используя феномен куфической монеты, при четком представлении о роли младшей монеты клада и в его каждой хронолого-династийной группе выявить скорость, в частности, движения монетного потока и, как следствие, время нахождения монет той или иной группы в обращении, т.е. перевести в практическую плоскость вопрос о скорости движения серебра  в Европе. </w:t>
      </w:r>
    </w:p>
    <w:p w14:paraId="2B886C68" w14:textId="77777777" w:rsidR="00CD484C" w:rsidRDefault="00CD484C">
      <w:pPr>
        <w:ind w:firstLine="397"/>
        <w:jc w:val="both"/>
        <w:rPr>
          <w:sz w:val="20"/>
          <w:szCs w:val="16"/>
        </w:rPr>
      </w:pPr>
      <w:r>
        <w:rPr>
          <w:sz w:val="20"/>
          <w:szCs w:val="16"/>
        </w:rPr>
        <w:t>Данный вопрос, как будет показано ниже, может быть решен на основе выявления хронологической структуры какого-нибудь конкретного денежного депозита, путем выделения династийного-хронологических групп с целью выяснения хронологической структуры памятника. Естественно, что поставленная задача должна быть решена на депозите как наиболее удаленном от эмиссионных центров, так и наиболее позднем по дате позднейшей монеты.</w:t>
      </w:r>
    </w:p>
    <w:p w14:paraId="2BB38EED" w14:textId="77777777" w:rsidR="00CD484C" w:rsidRDefault="00CD484C">
      <w:pPr>
        <w:ind w:firstLine="397"/>
        <w:jc w:val="both"/>
        <w:rPr>
          <w:sz w:val="20"/>
          <w:szCs w:val="16"/>
        </w:rPr>
      </w:pPr>
      <w:r>
        <w:rPr>
          <w:sz w:val="20"/>
          <w:szCs w:val="16"/>
        </w:rPr>
        <w:t xml:space="preserve">Выше уже приводились сведения о трех «чистых» буидских кладах, топографически локализованные на территории Волжской Булгарии. Клад Бальмеры 1862 г. Спасского уезда Казанской губернии (Марков А.К., 1910. – С. 11. № 58), состоящий целиком из монет династии Бувейхидов,  </w:t>
      </w:r>
      <w:r>
        <w:rPr>
          <w:sz w:val="20"/>
          <w:szCs w:val="16"/>
        </w:rPr>
        <w:lastRenderedPageBreak/>
        <w:t>датируемый ориентировочно 995 г.</w:t>
      </w:r>
      <w:r>
        <w:rPr>
          <w:rStyle w:val="a6"/>
          <w:sz w:val="20"/>
          <w:szCs w:val="16"/>
        </w:rPr>
        <w:footnoteReference w:customMarkFollows="1" w:id="90"/>
        <w:t>1</w:t>
      </w:r>
      <w:r>
        <w:rPr>
          <w:sz w:val="20"/>
          <w:szCs w:val="16"/>
        </w:rPr>
        <w:t>, так и клад, найденный в с. Крещенный баран в 1905 г. того же уезда – поздний 1008/1009 г. (Пахомов Е.А.,1957. – С. 96–97. № 1878), основу которого составили хорасанские: мамунидские и симджуридские монеты, являются основанием для поиска кладов имеющих кроющую часть как саманидскую, так и бувейхидско-зияридскую. При этом следует иметь в виду наличие кладов, состоящих целиком из саманидских монет, например, Семеновский с датой двух ММ 367/977–978 г., обнаруженный в результате разведок Е.П. Казакова в 1970-х годах</w:t>
      </w:r>
      <w:r>
        <w:rPr>
          <w:rStyle w:val="a6"/>
          <w:sz w:val="20"/>
          <w:szCs w:val="16"/>
        </w:rPr>
        <w:footnoteReference w:customMarkFollows="1" w:id="91"/>
        <w:t>2</w:t>
      </w:r>
      <w:r>
        <w:rPr>
          <w:sz w:val="20"/>
          <w:szCs w:val="16"/>
        </w:rPr>
        <w:t>. Говоря о Чистопольском кладе 1885 г. из Казанской губернии, В.Л. Янин, заметил, что данный депозит единственный, в котором буидская часть по количеству монет превосходит саманидскую (Янин В.Л., 1956. – С. 132) и, как показано в последнем очерке, на основе династийного распределения клада, монеты первой династии составили свою часть данного депозита на два года позже, чем монеты Саманидов.</w:t>
      </w:r>
    </w:p>
    <w:p w14:paraId="227ED5F8" w14:textId="77777777" w:rsidR="00CD484C" w:rsidRDefault="00CD484C">
      <w:pPr>
        <w:ind w:firstLine="397"/>
        <w:jc w:val="both"/>
        <w:rPr>
          <w:sz w:val="20"/>
          <w:szCs w:val="16"/>
        </w:rPr>
      </w:pPr>
      <w:r>
        <w:rPr>
          <w:sz w:val="20"/>
          <w:szCs w:val="16"/>
        </w:rPr>
        <w:t>Обращаясь в «Топографии...» А.К. Маркова можно найти соответствующие клады. Клад 1896 г., найденный в д. Красной Виленской губернии, где бувейхидский и зияридские чеканы 338–369 г.х. перекрывает чекан Саманидов 304–376 г.х. (Марков А.К., 1910. – С. 136, № 1) с «дельтой» 7 лет. Данному обстоятельству есть два возможных объяснения. Или данный депозит, сформировавшись на территории Волжской Булгарии, проследовал в Восточную Прибалтику, или на одном из денежных рынков Северо-Западной Руси была приобретена сначала буидская часть, к которой через 7 лет была присоединена саманидская составляющая.</w:t>
      </w:r>
    </w:p>
    <w:p w14:paraId="76E34396" w14:textId="77777777" w:rsidR="00CD484C" w:rsidRDefault="00CD484C">
      <w:pPr>
        <w:ind w:firstLine="397"/>
        <w:jc w:val="both"/>
        <w:rPr>
          <w:sz w:val="20"/>
          <w:szCs w:val="16"/>
        </w:rPr>
      </w:pPr>
      <w:r>
        <w:rPr>
          <w:sz w:val="20"/>
          <w:szCs w:val="16"/>
        </w:rPr>
        <w:t>Изучение кладов по династийному признаку и с учетом хронологии правления тех или иных династий позволяет на наш взгляд, выявить и реконструировать процесс образования тех или иных депозитов, в том числе наиболее отдаленных пунктов находок от монетных дворов, выпустившие те или иные дирхемы.</w:t>
      </w:r>
    </w:p>
    <w:p w14:paraId="07A4D00D" w14:textId="4A9A1D26" w:rsidR="00CD484C" w:rsidRDefault="00CD484C">
      <w:pPr>
        <w:ind w:firstLine="397"/>
        <w:jc w:val="both"/>
        <w:rPr>
          <w:sz w:val="20"/>
          <w:szCs w:val="16"/>
        </w:rPr>
      </w:pPr>
      <w:r>
        <w:rPr>
          <w:sz w:val="20"/>
          <w:szCs w:val="16"/>
        </w:rPr>
        <w:t>В этой связи интерес представляет клад,  найденный в 1903 г. в казенном имении Велла /совр. д.Вылла р-н Пярну Эстония/, на византий</w:t>
      </w:r>
      <w:r w:rsidR="00395416">
        <w:rPr>
          <w:noProof/>
          <w:sz w:val="20"/>
          <w:szCs w:val="16"/>
        </w:rPr>
        <mc:AlternateContent>
          <mc:Choice Requires="wps">
            <w:drawing>
              <wp:anchor distT="0" distB="0" distL="114300" distR="114300" simplePos="0" relativeHeight="251680256" behindDoc="0" locked="1" layoutInCell="1" allowOverlap="1" wp14:anchorId="67A69C93" wp14:editId="14ACF75B">
                <wp:simplePos x="0" y="0"/>
                <wp:positionH relativeFrom="column">
                  <wp:posOffset>0</wp:posOffset>
                </wp:positionH>
                <wp:positionV relativeFrom="paragraph">
                  <wp:posOffset>-252730</wp:posOffset>
                </wp:positionV>
                <wp:extent cx="4095750" cy="186690"/>
                <wp:effectExtent l="0" t="1905" r="3810" b="1905"/>
                <wp:wrapNone/>
                <wp:docPr id="809517040"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E6FAA" w14:textId="77777777" w:rsidR="00AE2133" w:rsidRDefault="00AE2133">
                            <w:pPr>
                              <w:pStyle w:val="a3"/>
                              <w:spacing w:before="0" w:after="0"/>
                              <w:rPr>
                                <w:szCs w:val="24"/>
                                <w:u w:val="single"/>
                              </w:rPr>
                            </w:pPr>
                            <w:r>
                              <w:rPr>
                                <w:szCs w:val="24"/>
                                <w:u w:val="single"/>
                              </w:rPr>
                              <w:t xml:space="preserve">            Приложение 1. Хронологическая структура клада…</w:t>
                            </w:r>
                            <w:r>
                              <w:rPr>
                                <w:szCs w:val="24"/>
                                <w:u w:val="single"/>
                              </w:rPr>
                              <w:tab/>
                              <w:t xml:space="preserve">                                  </w:t>
                            </w:r>
                            <w:r>
                              <w:rPr>
                                <w:szCs w:val="24"/>
                                <w:u w:val="single"/>
                              </w:rPr>
                              <w:tab/>
                              <w:t xml:space="preserve">        </w:t>
                            </w:r>
                          </w:p>
                          <w:p w14:paraId="2FBE8FD2"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69C93" id="Text Box 242" o:spid="_x0000_s1085" type="#_x0000_t202" style="position:absolute;left:0;text-align:left;margin-left:0;margin-top:-19.9pt;width:322.5pt;height:14.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ZtnKO7wEAAMIDAAAOAAAAAAAAAAAAAAAAAC4CAABkcnMvZTJv&#10;RG9jLnhtbFBLAQItABQABgAIAAAAIQCnTgMH3gAAAAgBAAAPAAAAAAAAAAAAAAAAAEkEAABkcnMv&#10;ZG93bnJldi54bWxQSwUGAAAAAAQABADzAAAAVAUAAAAA&#10;" stroked="f">
                <v:textbox inset="0,0,0,0">
                  <w:txbxContent>
                    <w:p w14:paraId="286E6FAA" w14:textId="77777777" w:rsidR="00AE2133" w:rsidRDefault="00AE2133">
                      <w:pPr>
                        <w:pStyle w:val="a3"/>
                        <w:spacing w:before="0" w:after="0"/>
                        <w:rPr>
                          <w:szCs w:val="24"/>
                          <w:u w:val="single"/>
                        </w:rPr>
                      </w:pPr>
                      <w:r>
                        <w:rPr>
                          <w:szCs w:val="24"/>
                          <w:u w:val="single"/>
                        </w:rPr>
                        <w:t xml:space="preserve">            Приложение 1. Хронологическая структура клада…</w:t>
                      </w:r>
                      <w:r>
                        <w:rPr>
                          <w:szCs w:val="24"/>
                          <w:u w:val="single"/>
                        </w:rPr>
                        <w:tab/>
                        <w:t xml:space="preserve">                                  </w:t>
                      </w:r>
                      <w:r>
                        <w:rPr>
                          <w:szCs w:val="24"/>
                          <w:u w:val="single"/>
                        </w:rPr>
                        <w:tab/>
                        <w:t xml:space="preserve">        </w:t>
                      </w:r>
                    </w:p>
                    <w:p w14:paraId="2FBE8FD2" w14:textId="77777777" w:rsidR="00AE2133" w:rsidRDefault="00AE2133">
                      <w:pPr>
                        <w:rPr>
                          <w:b/>
                          <w:bCs/>
                          <w:sz w:val="2"/>
                          <w:u w:val="single"/>
                        </w:rPr>
                      </w:pPr>
                    </w:p>
                  </w:txbxContent>
                </v:textbox>
                <w10:anchorlock/>
              </v:shape>
            </w:pict>
          </mc:Fallback>
        </mc:AlternateContent>
      </w:r>
      <w:r>
        <w:rPr>
          <w:sz w:val="20"/>
          <w:szCs w:val="16"/>
        </w:rPr>
        <w:t>скую составляющую которого особо обратила внимание И.В. Соколова. Ею же приведена и литература, посвященная изучению этого интересного памятника  (Соколова И.В., 1961. – С. 11–22).</w:t>
      </w:r>
    </w:p>
    <w:p w14:paraId="58CE2E41" w14:textId="77777777" w:rsidR="00CD484C" w:rsidRDefault="00CD484C">
      <w:pPr>
        <w:ind w:firstLine="397"/>
        <w:jc w:val="both"/>
        <w:rPr>
          <w:sz w:val="20"/>
          <w:szCs w:val="16"/>
        </w:rPr>
      </w:pPr>
      <w:r>
        <w:rPr>
          <w:sz w:val="20"/>
          <w:szCs w:val="16"/>
        </w:rPr>
        <w:t>Куфическая составляющая клада Велла, которую в свое время определил А.К. Марков, имеет значительный диапазон чеканки, что, безусловно, связано с преднамеренной задержкой монеты населением в своем денежном обращении:</w:t>
      </w:r>
    </w:p>
    <w:p w14:paraId="78D161E8" w14:textId="77777777" w:rsidR="00CD484C" w:rsidRDefault="00CD484C">
      <w:pPr>
        <w:ind w:firstLine="397"/>
        <w:jc w:val="both"/>
        <w:rPr>
          <w:sz w:val="20"/>
          <w:szCs w:val="16"/>
        </w:rPr>
      </w:pPr>
      <w:r>
        <w:rPr>
          <w:sz w:val="20"/>
          <w:szCs w:val="16"/>
        </w:rPr>
        <w:t>1. Аббасиды и др. династии Ирака 862–960 гг.</w:t>
      </w:r>
    </w:p>
    <w:p w14:paraId="13A5E982" w14:textId="77777777" w:rsidR="00CD484C" w:rsidRDefault="00CD484C">
      <w:pPr>
        <w:ind w:firstLine="397"/>
        <w:jc w:val="both"/>
        <w:rPr>
          <w:sz w:val="20"/>
          <w:szCs w:val="16"/>
        </w:rPr>
      </w:pPr>
      <w:r>
        <w:rPr>
          <w:sz w:val="20"/>
          <w:szCs w:val="16"/>
        </w:rPr>
        <w:t>2. Саманиды 900–929 гг.</w:t>
      </w:r>
    </w:p>
    <w:p w14:paraId="5EFBED2D" w14:textId="77777777" w:rsidR="00CD484C" w:rsidRDefault="00CD484C">
      <w:pPr>
        <w:ind w:firstLine="397"/>
        <w:jc w:val="both"/>
        <w:rPr>
          <w:sz w:val="20"/>
          <w:szCs w:val="16"/>
        </w:rPr>
      </w:pPr>
      <w:r>
        <w:rPr>
          <w:sz w:val="20"/>
          <w:szCs w:val="16"/>
        </w:rPr>
        <w:lastRenderedPageBreak/>
        <w:t>3. Буиды 934–966 гг.</w:t>
      </w:r>
    </w:p>
    <w:p w14:paraId="01C6C619" w14:textId="77777777" w:rsidR="00CD484C" w:rsidRDefault="00CD484C">
      <w:pPr>
        <w:ind w:firstLine="397"/>
        <w:jc w:val="both"/>
        <w:rPr>
          <w:sz w:val="20"/>
          <w:szCs w:val="16"/>
        </w:rPr>
      </w:pPr>
      <w:r>
        <w:rPr>
          <w:sz w:val="20"/>
          <w:szCs w:val="16"/>
        </w:rPr>
        <w:t>4. Волжская Булгария. Мумин ибн ал-Хасан Булгар, 976 г.</w:t>
      </w:r>
    </w:p>
    <w:p w14:paraId="41AA4C07" w14:textId="77777777" w:rsidR="00CD484C" w:rsidRDefault="00CD484C">
      <w:pPr>
        <w:ind w:firstLine="397"/>
        <w:jc w:val="both"/>
        <w:rPr>
          <w:sz w:val="20"/>
          <w:szCs w:val="16"/>
        </w:rPr>
      </w:pPr>
      <w:r>
        <w:rPr>
          <w:sz w:val="20"/>
          <w:szCs w:val="16"/>
        </w:rPr>
        <w:t>5. Окайлиды 99..? г.</w:t>
      </w:r>
    </w:p>
    <w:p w14:paraId="3D33830F" w14:textId="77777777" w:rsidR="00CD484C" w:rsidRDefault="00CD484C">
      <w:pPr>
        <w:ind w:firstLine="397"/>
        <w:jc w:val="both"/>
        <w:rPr>
          <w:spacing w:val="-2"/>
          <w:sz w:val="20"/>
          <w:szCs w:val="16"/>
        </w:rPr>
      </w:pPr>
      <w:r>
        <w:rPr>
          <w:spacing w:val="-2"/>
          <w:sz w:val="20"/>
          <w:szCs w:val="16"/>
        </w:rPr>
        <w:t>В данном депозите, надо полагать, и в иных аналогичных, интерес представляет саманидский и бувейхидский чеканы И, если первый не выходит за пределы первого тридцатилетия Х в., то второй также несомненно поступивший через Волжскую Булгарию, представленный монетами Сирии и Ирака, имеет диапазон чеканки 934–960-е годы. Саманидские монеты, поступившие в Волжскую Булгарию сухопутным путем в данном памятнике были перекрыты «западными» монетами, попавшим в Европу по Волжскому пути. Отсутствие «чистых» бувейхидских кладов на Северо-Западе Руси и Прибалтики ни о чем не говорит. Таковые еще предстоит обнаружить как в пределах Азербайджана, Ирака, Ирана, но и в Европе.</w:t>
      </w:r>
    </w:p>
    <w:p w14:paraId="7C37B11C" w14:textId="77777777" w:rsidR="00CD484C" w:rsidRDefault="00CD484C">
      <w:pPr>
        <w:ind w:firstLine="397"/>
        <w:jc w:val="both"/>
        <w:rPr>
          <w:sz w:val="20"/>
          <w:szCs w:val="16"/>
        </w:rPr>
      </w:pPr>
      <w:r>
        <w:rPr>
          <w:sz w:val="20"/>
          <w:szCs w:val="16"/>
        </w:rPr>
        <w:t>Позднейшие монеты клада Велла представлены монетами Оттона III (983–1002), чекан Девентер, двойным византийским милиарисием Василия II и Константина VIII (976–1025) и куфической монетой династии Окайлидов Джаннаха и Хасана 99? г., битой, скорее всего в Мосуле. «Окайлидские дирхемы, – писал А.А. Быков, – проникли на территорию Европы с последним потоком куфических монет, направлявшимся через Булгарское царство. В земли полочан и дреговичей они пришли из центральных или северных областей восточноевропейской равнины (включая Прибалтику), где сосредоточены почти все поздние клады с куфи</w:t>
      </w:r>
      <w:r>
        <w:rPr>
          <w:sz w:val="20"/>
          <w:szCs w:val="16"/>
        </w:rPr>
        <w:softHyphen/>
        <w:t>ческими монетами, находимые в европейской части Советского Союза» (Быков А.А., 1961. – С. 35)</w:t>
      </w:r>
      <w:r>
        <w:rPr>
          <w:rStyle w:val="a6"/>
          <w:sz w:val="20"/>
          <w:szCs w:val="16"/>
        </w:rPr>
        <w:footnoteReference w:customMarkFollows="1" w:id="92"/>
        <w:t>3</w:t>
      </w:r>
      <w:r>
        <w:rPr>
          <w:sz w:val="20"/>
          <w:szCs w:val="16"/>
        </w:rPr>
        <w:t>. Вместе с тем, все монеты рассматриваемого клада могли быть приобретены на Новгородском денежном рынке.</w:t>
      </w:r>
    </w:p>
    <w:p w14:paraId="7F927721" w14:textId="77777777" w:rsidR="00CD484C" w:rsidRDefault="00CD484C">
      <w:pPr>
        <w:ind w:firstLine="397"/>
        <w:jc w:val="both"/>
        <w:rPr>
          <w:sz w:val="20"/>
          <w:szCs w:val="16"/>
        </w:rPr>
      </w:pPr>
      <w:r>
        <w:rPr>
          <w:sz w:val="20"/>
          <w:szCs w:val="16"/>
        </w:rPr>
        <w:t>Младшая монета куфической части клада Велла представлена окайлидским дирхемом, выпущенной от имени эмиров Джаннаха и Хасана, которые, согласно современной справочной литературе по истории мусульманских династий, совместно не правили (Zambaur Е., 1955.  S. 135, Avec, tabl. N; Босворт К., 1971. – С. 89–92). Но, поскольку начало правления династии Окайлидов относится к 386/996 г., то датировать  данный дирхем следует не ранее конца 990-х годов.</w:t>
      </w:r>
    </w:p>
    <w:p w14:paraId="30F125D9" w14:textId="77777777" w:rsidR="00CD484C" w:rsidRDefault="00CD484C">
      <w:pPr>
        <w:ind w:firstLine="397"/>
        <w:jc w:val="both"/>
        <w:rPr>
          <w:sz w:val="20"/>
          <w:szCs w:val="16"/>
        </w:rPr>
      </w:pPr>
      <w:r>
        <w:rPr>
          <w:sz w:val="20"/>
          <w:szCs w:val="16"/>
        </w:rPr>
        <w:t xml:space="preserve">Таким образом, существующий хронологический разрыв в куфической составляющей клада 20 лет, вероятно, объясняется неполной сохранностью, что, впрочем, не мешает изучать состав данной части клада. </w:t>
      </w:r>
      <w:r>
        <w:rPr>
          <w:sz w:val="20"/>
          <w:szCs w:val="16"/>
        </w:rPr>
        <w:lastRenderedPageBreak/>
        <w:t>Вместе с этим обращает на себя внимание, что основная масса куфических монет заканчивается бувейхидским дирхемом 966 г. эмиссии и перекрывается с 10-летней «дельтой» монетой булгарского эмира Мумина ибн ал-Хасана чекан Булгара 976 г. В данном кладе она выступает не только в роли хронологического индикатора прохождения через рынок Булгара бувейхидских монет, составляющим 10 лет, но и, отражая эмиссию волжских эмиров, показывает в тоже время, темп движения рассматриваемой восточной части монет клада Велла от устья Камы до Финского залива, составляющий около 25 лет, когда их «догнала» окайлидская монета. Дирхем булгарского эмира с годовой разницей перекрывает монеты, поступившие в Поочье, что видно на примере клада Борки 1952 г. Рязанской области, на что внимание обратил Е.А. Пахомов (Пахомов Е.А., 1957. – С. 94, № 1877, с. 95). Изложенное позволяет высказать мнение о том, что  куфические составляющие обоих кладов были приобретены на рынке города Булгар.</w:t>
      </w:r>
    </w:p>
    <w:p w14:paraId="2E45CF39" w14:textId="77777777" w:rsidR="00CD484C" w:rsidRDefault="00CD484C">
      <w:pPr>
        <w:ind w:firstLine="397"/>
        <w:jc w:val="both"/>
        <w:rPr>
          <w:sz w:val="20"/>
          <w:szCs w:val="16"/>
        </w:rPr>
      </w:pPr>
      <w:r>
        <w:rPr>
          <w:sz w:val="20"/>
          <w:szCs w:val="16"/>
        </w:rPr>
        <w:t xml:space="preserve">Последние куфические монеты удерживались в русском денежном обращении 35 лет, что установил Р.Р. Фасмер и с чем согласился В.Л. Янин (1956. – С. 70), германские денарии выпадали в культурном слое Новгорода с лагом 23–39 года (Потин В.М., 1986. – С. 151 спр.). Тезаврацию клада Велла, в этой связи, следует отнести к периоду не позднее середины 1040-х годов. </w:t>
      </w:r>
    </w:p>
    <w:p w14:paraId="472B8BEF" w14:textId="77777777" w:rsidR="00CD484C" w:rsidRDefault="00CD484C">
      <w:pPr>
        <w:ind w:firstLine="397"/>
        <w:jc w:val="both"/>
        <w:rPr>
          <w:sz w:val="20"/>
          <w:szCs w:val="16"/>
        </w:rPr>
      </w:pPr>
      <w:r>
        <w:rPr>
          <w:sz w:val="20"/>
          <w:szCs w:val="16"/>
        </w:rPr>
        <w:t xml:space="preserve">Для уточнения даты сокрытия следует обратиться к кладу найденному в 1993 г. Новгороде и оперативно введенному в научный оборот В.Л. Яниным и П.Г. Гайдуковым, датируемый как нумизматическими, так и археологическим средствами второй половиной  20-х – первой половиной 30-х гг. XI в. (Янини В.Л., Гайдуков П.Г., 1996. – С. 152, 153). </w:t>
      </w:r>
      <w:r>
        <w:rPr>
          <w:sz w:val="20"/>
          <w:szCs w:val="16"/>
        </w:rPr>
        <w:tab/>
      </w:r>
    </w:p>
    <w:p w14:paraId="6CA41B93" w14:textId="0DF652E2" w:rsidR="00CD484C" w:rsidRDefault="00CD484C">
      <w:pPr>
        <w:ind w:firstLine="397"/>
        <w:jc w:val="both"/>
        <w:rPr>
          <w:sz w:val="20"/>
          <w:szCs w:val="16"/>
        </w:rPr>
      </w:pPr>
      <w:r>
        <w:rPr>
          <w:sz w:val="20"/>
          <w:szCs w:val="16"/>
        </w:rPr>
        <w:t>В.Л. Янин и П.Г. Гайдуков в процессе публикации  уникального новгородского клада византийских и западноевропейских монет показали, что кругленькая сумма, отложенная владельцем сруба № 124, объясняется весом 59 монет клада, превышающим несколько основную денежную единицу Древней Руси гривну кун (Янин В.Л., Гайдуков П.Г., 1996. – С. 154). Ученые, несомненно, имеют в виду, что в распоряжении владель</w:t>
      </w:r>
      <w:r w:rsidR="00395416">
        <w:rPr>
          <w:noProof/>
          <w:sz w:val="20"/>
          <w:szCs w:val="16"/>
        </w:rPr>
        <mc:AlternateContent>
          <mc:Choice Requires="wps">
            <w:drawing>
              <wp:anchor distT="0" distB="0" distL="114300" distR="114300" simplePos="0" relativeHeight="251681280" behindDoc="0" locked="1" layoutInCell="1" allowOverlap="1" wp14:anchorId="7DD19525" wp14:editId="3D1FF492">
                <wp:simplePos x="0" y="0"/>
                <wp:positionH relativeFrom="column">
                  <wp:posOffset>0</wp:posOffset>
                </wp:positionH>
                <wp:positionV relativeFrom="paragraph">
                  <wp:posOffset>-252730</wp:posOffset>
                </wp:positionV>
                <wp:extent cx="4095750" cy="186690"/>
                <wp:effectExtent l="0" t="1905" r="3810" b="1905"/>
                <wp:wrapNone/>
                <wp:docPr id="113730337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D913D" w14:textId="77777777" w:rsidR="00AE2133" w:rsidRDefault="00AE2133">
                            <w:pPr>
                              <w:pStyle w:val="a3"/>
                              <w:spacing w:before="0" w:after="0"/>
                              <w:rPr>
                                <w:szCs w:val="24"/>
                                <w:u w:val="single"/>
                              </w:rPr>
                            </w:pPr>
                            <w:r>
                              <w:rPr>
                                <w:szCs w:val="24"/>
                                <w:u w:val="single"/>
                              </w:rPr>
                              <w:t xml:space="preserve">            Приложение 1. Хронологическая структура клада…</w:t>
                            </w:r>
                            <w:r>
                              <w:rPr>
                                <w:szCs w:val="24"/>
                                <w:u w:val="single"/>
                              </w:rPr>
                              <w:tab/>
                              <w:t xml:space="preserve">                                  </w:t>
                            </w:r>
                            <w:r>
                              <w:rPr>
                                <w:szCs w:val="24"/>
                                <w:u w:val="single"/>
                              </w:rPr>
                              <w:tab/>
                              <w:t xml:space="preserve">        </w:t>
                            </w:r>
                          </w:p>
                          <w:p w14:paraId="4889C6F2"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19525" id="Text Box 243" o:spid="_x0000_s1086" type="#_x0000_t202" style="position:absolute;left:0;text-align:left;margin-left:0;margin-top:-19.9pt;width:322.5pt;height:14.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lvt7w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moqvc4eJdg3NiYgjTMaiH4GCDvAXZwOZquLh&#10;50Gg4sx+dCRecuAc4BzUcyCcpNKKR86mcBcnpx48mrYj5Gk8Du5JYG0y9+cuzv2SUbIkZ1MnJ/65&#10;z7eef73tb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9Alvt7wEAAMIDAAAOAAAAAAAAAAAAAAAAAC4CAABkcnMvZTJv&#10;RG9jLnhtbFBLAQItABQABgAIAAAAIQCnTgMH3gAAAAgBAAAPAAAAAAAAAAAAAAAAAEkEAABkcnMv&#10;ZG93bnJldi54bWxQSwUGAAAAAAQABADzAAAAVAUAAAAA&#10;" stroked="f">
                <v:textbox inset="0,0,0,0">
                  <w:txbxContent>
                    <w:p w14:paraId="690D913D" w14:textId="77777777" w:rsidR="00AE2133" w:rsidRDefault="00AE2133">
                      <w:pPr>
                        <w:pStyle w:val="a3"/>
                        <w:spacing w:before="0" w:after="0"/>
                        <w:rPr>
                          <w:szCs w:val="24"/>
                          <w:u w:val="single"/>
                        </w:rPr>
                      </w:pPr>
                      <w:r>
                        <w:rPr>
                          <w:szCs w:val="24"/>
                          <w:u w:val="single"/>
                        </w:rPr>
                        <w:t xml:space="preserve">            Приложение 1. Хронологическая структура клада…</w:t>
                      </w:r>
                      <w:r>
                        <w:rPr>
                          <w:szCs w:val="24"/>
                          <w:u w:val="single"/>
                        </w:rPr>
                        <w:tab/>
                        <w:t xml:space="preserve">                                  </w:t>
                      </w:r>
                      <w:r>
                        <w:rPr>
                          <w:szCs w:val="24"/>
                          <w:u w:val="single"/>
                        </w:rPr>
                        <w:tab/>
                        <w:t xml:space="preserve">        </w:t>
                      </w:r>
                    </w:p>
                    <w:p w14:paraId="4889C6F2" w14:textId="77777777" w:rsidR="00AE2133" w:rsidRDefault="00AE2133">
                      <w:pPr>
                        <w:rPr>
                          <w:b/>
                          <w:bCs/>
                          <w:sz w:val="2"/>
                          <w:u w:val="single"/>
                        </w:rPr>
                      </w:pPr>
                    </w:p>
                  </w:txbxContent>
                </v:textbox>
                <w10:anchorlock/>
              </v:shape>
            </w:pict>
          </mc:Fallback>
        </mc:AlternateContent>
      </w:r>
      <w:r>
        <w:rPr>
          <w:sz w:val="20"/>
          <w:szCs w:val="16"/>
        </w:rPr>
        <w:t xml:space="preserve">ца гривны кун (68,22 г.) были и другие монеты – обломки и обрезки – деньги, в том числе и арабские, качество которых не могли отвечать требованиям сбережения, поэтому клад был составлен только из целых и полновесных монет. Датировка клада позволяет сделать вывод о том, монеты находились в обращении не более 10 лет, что вполне согласуется с тем, что средний срок от момента чекана до выпадения в культурный слой Новгорода случайно оброненных западноевропейских денариев, обнаруженных в 23–25 ярусов, датированных по данным дендрохронологии между 1006–1055 гг., составлял около 10 лет (Потин В.М., 1986. – С. 114 табл.). Поэтому, с учетом того, что младшие монеты были приобретены в Новгороде, клад Велла мог выпасть не ранее 1015 г. </w:t>
      </w:r>
    </w:p>
    <w:p w14:paraId="6EC2C8BE" w14:textId="77777777" w:rsidR="00CD484C" w:rsidRDefault="00CD484C">
      <w:pPr>
        <w:ind w:firstLine="397"/>
        <w:jc w:val="both"/>
        <w:rPr>
          <w:sz w:val="20"/>
          <w:szCs w:val="16"/>
        </w:rPr>
      </w:pPr>
      <w:r>
        <w:rPr>
          <w:sz w:val="20"/>
          <w:szCs w:val="16"/>
        </w:rPr>
        <w:lastRenderedPageBreak/>
        <w:t>Вернемся к старшим хронолого-династийным группам клада. Аббасиды и другие центральноиракские династии депозита охватывают диапазон 98 лет и при наличии буидских монет, также имеющих иракское и прикаспийское происхождение, лишь на 6 лет моложе предыдущих, позволяет увеличить диапазон «западной» составляющей клада до 104 лет. Учитывая, что позднейшие монеты должны в наших расчетах иметь дату около 1005 г., то хронологический диапазон рассматриваемого депозита составляет 143 года.</w:t>
      </w:r>
    </w:p>
    <w:p w14:paraId="419C020E" w14:textId="77777777" w:rsidR="00CD484C" w:rsidRDefault="00CD484C">
      <w:pPr>
        <w:ind w:firstLine="397"/>
        <w:jc w:val="both"/>
        <w:rPr>
          <w:sz w:val="20"/>
          <w:szCs w:val="16"/>
        </w:rPr>
      </w:pPr>
      <w:r>
        <w:rPr>
          <w:sz w:val="20"/>
          <w:szCs w:val="16"/>
        </w:rPr>
        <w:t>Останавливаясь на саманидской составляющей, заметим, что она имеет весьма узкий хронологический диапазон, связанный с периодом мощного ввоза монет-исмаили в Европу</w:t>
      </w:r>
      <w:r>
        <w:rPr>
          <w:rStyle w:val="a6"/>
          <w:sz w:val="20"/>
          <w:szCs w:val="16"/>
        </w:rPr>
        <w:footnoteReference w:customMarkFollows="1" w:id="93"/>
        <w:t>4</w:t>
      </w:r>
      <w:r>
        <w:rPr>
          <w:sz w:val="20"/>
          <w:szCs w:val="16"/>
        </w:rPr>
        <w:t>.</w:t>
      </w:r>
    </w:p>
    <w:p w14:paraId="1907B59F" w14:textId="77777777" w:rsidR="00CD484C" w:rsidRDefault="00CD484C">
      <w:pPr>
        <w:ind w:firstLine="397"/>
        <w:jc w:val="both"/>
        <w:rPr>
          <w:sz w:val="20"/>
          <w:szCs w:val="16"/>
        </w:rPr>
      </w:pPr>
      <w:r>
        <w:rPr>
          <w:sz w:val="20"/>
          <w:szCs w:val="16"/>
        </w:rPr>
        <w:t xml:space="preserve">Примем во внимание, что саманидские дирхемы-исмаили памятника, находящегося в конце континентальной части пути «из варяг в греки и из грек», были перекрыты бувейхидскими с лагом 37 лет. </w:t>
      </w:r>
    </w:p>
    <w:p w14:paraId="57CF42C4" w14:textId="77777777" w:rsidR="00CD484C" w:rsidRDefault="00CD484C">
      <w:pPr>
        <w:ind w:firstLine="397"/>
        <w:jc w:val="both"/>
        <w:rPr>
          <w:sz w:val="20"/>
          <w:szCs w:val="16"/>
        </w:rPr>
      </w:pPr>
      <w:r>
        <w:rPr>
          <w:sz w:val="20"/>
          <w:szCs w:val="16"/>
        </w:rPr>
        <w:t>Приведенные доводы и материал позволяют установить хронологическую структуру конкретного клада, в данном случае Велла, которая представляет: 37+10+29+10=86 лет.</w:t>
      </w:r>
    </w:p>
    <w:p w14:paraId="45414746" w14:textId="77777777" w:rsidR="00CD484C" w:rsidRDefault="00CD484C">
      <w:pPr>
        <w:ind w:firstLine="397"/>
        <w:jc w:val="both"/>
        <w:rPr>
          <w:sz w:val="20"/>
          <w:szCs w:val="16"/>
        </w:rPr>
      </w:pPr>
    </w:p>
    <w:p w14:paraId="74581BBF" w14:textId="77777777" w:rsidR="00CD484C" w:rsidRDefault="00CD484C">
      <w:pPr>
        <w:ind w:firstLine="397"/>
        <w:jc w:val="both"/>
        <w:rPr>
          <w:sz w:val="20"/>
          <w:szCs w:val="16"/>
        </w:rPr>
      </w:pPr>
    </w:p>
    <w:p w14:paraId="732D6DFD" w14:textId="77777777" w:rsidR="00CD484C" w:rsidRDefault="00CD484C">
      <w:pPr>
        <w:ind w:firstLine="397"/>
        <w:jc w:val="both"/>
        <w:rPr>
          <w:sz w:val="20"/>
          <w:szCs w:val="16"/>
        </w:rPr>
      </w:pPr>
    </w:p>
    <w:p w14:paraId="30E169A3" w14:textId="77777777" w:rsidR="00CD484C" w:rsidRDefault="00CD484C">
      <w:pPr>
        <w:ind w:firstLine="397"/>
        <w:jc w:val="both"/>
        <w:rPr>
          <w:sz w:val="20"/>
          <w:szCs w:val="16"/>
        </w:rPr>
      </w:pPr>
    </w:p>
    <w:p w14:paraId="529E6D40" w14:textId="77777777" w:rsidR="00CD484C" w:rsidRDefault="00CD484C">
      <w:pPr>
        <w:ind w:firstLine="397"/>
        <w:jc w:val="both"/>
        <w:rPr>
          <w:sz w:val="20"/>
          <w:szCs w:val="16"/>
        </w:rPr>
      </w:pPr>
    </w:p>
    <w:p w14:paraId="22D224B1" w14:textId="77777777" w:rsidR="00CD484C" w:rsidRDefault="00CD484C">
      <w:pPr>
        <w:ind w:firstLine="397"/>
        <w:jc w:val="both"/>
        <w:rPr>
          <w:sz w:val="20"/>
          <w:szCs w:val="16"/>
        </w:rPr>
      </w:pPr>
    </w:p>
    <w:p w14:paraId="72D6581D" w14:textId="77777777" w:rsidR="00CD484C" w:rsidRDefault="00CD484C">
      <w:pPr>
        <w:ind w:firstLine="397"/>
        <w:jc w:val="both"/>
        <w:rPr>
          <w:sz w:val="20"/>
          <w:szCs w:val="16"/>
        </w:rPr>
      </w:pPr>
    </w:p>
    <w:p w14:paraId="23FF4B1F" w14:textId="77777777" w:rsidR="00CD484C" w:rsidRDefault="00CD484C">
      <w:pPr>
        <w:ind w:firstLine="397"/>
        <w:jc w:val="both"/>
        <w:rPr>
          <w:sz w:val="20"/>
          <w:szCs w:val="16"/>
        </w:rPr>
      </w:pPr>
    </w:p>
    <w:p w14:paraId="13F19E09" w14:textId="77777777" w:rsidR="00CD484C" w:rsidRDefault="00CD484C">
      <w:pPr>
        <w:ind w:firstLine="397"/>
        <w:jc w:val="both"/>
        <w:rPr>
          <w:sz w:val="20"/>
          <w:szCs w:val="16"/>
        </w:rPr>
      </w:pPr>
    </w:p>
    <w:p w14:paraId="37487478" w14:textId="77777777" w:rsidR="00CD484C" w:rsidRDefault="00CD484C">
      <w:pPr>
        <w:ind w:firstLine="397"/>
        <w:jc w:val="both"/>
        <w:rPr>
          <w:sz w:val="20"/>
          <w:szCs w:val="16"/>
        </w:rPr>
      </w:pPr>
    </w:p>
    <w:p w14:paraId="71A8F815" w14:textId="77777777" w:rsidR="00CD484C" w:rsidRDefault="00CD484C">
      <w:pPr>
        <w:ind w:firstLine="397"/>
        <w:jc w:val="both"/>
        <w:rPr>
          <w:sz w:val="20"/>
          <w:szCs w:val="16"/>
        </w:rPr>
      </w:pPr>
    </w:p>
    <w:p w14:paraId="7A422B52" w14:textId="77777777" w:rsidR="00CD484C" w:rsidRDefault="00CD484C">
      <w:pPr>
        <w:ind w:firstLine="397"/>
        <w:jc w:val="both"/>
        <w:rPr>
          <w:sz w:val="20"/>
          <w:szCs w:val="16"/>
        </w:rPr>
      </w:pPr>
    </w:p>
    <w:p w14:paraId="5784E5FE" w14:textId="77777777" w:rsidR="00CD484C" w:rsidRDefault="00CD484C">
      <w:pPr>
        <w:ind w:firstLine="397"/>
        <w:jc w:val="both"/>
        <w:rPr>
          <w:sz w:val="20"/>
          <w:szCs w:val="16"/>
        </w:rPr>
      </w:pPr>
    </w:p>
    <w:p w14:paraId="20782F32" w14:textId="77777777" w:rsidR="00CD484C" w:rsidRDefault="00CD484C">
      <w:pPr>
        <w:pStyle w:val="a3"/>
        <w:tabs>
          <w:tab w:val="left" w:pos="540"/>
        </w:tabs>
        <w:ind w:firstLine="397"/>
        <w:jc w:val="left"/>
        <w:rPr>
          <w:b w:val="0"/>
          <w:bCs w:val="0"/>
          <w:i/>
          <w:iCs/>
          <w:u w:val="single"/>
        </w:rPr>
      </w:pPr>
      <w:r>
        <w:rPr>
          <w:b w:val="0"/>
          <w:bCs w:val="0"/>
          <w:i/>
          <w:iCs/>
          <w:u w:val="single"/>
        </w:rPr>
        <w:lastRenderedPageBreak/>
        <w:t>ПРИЛОЖЕНИЕ 2</w:t>
      </w:r>
    </w:p>
    <w:p w14:paraId="3DB7568C" w14:textId="77777777" w:rsidR="00CD484C" w:rsidRDefault="00CD484C">
      <w:pPr>
        <w:pStyle w:val="2"/>
        <w:spacing w:before="240" w:after="120"/>
        <w:ind w:firstLine="0"/>
      </w:pPr>
      <w:r>
        <w:t>СТРАНА ВИСУ: ПРОБЛЕМА ЛОКАЛИЗАЦИИ</w:t>
      </w:r>
    </w:p>
    <w:p w14:paraId="3D801A57" w14:textId="77777777" w:rsidR="00CD484C" w:rsidRDefault="00CD484C">
      <w:pPr>
        <w:ind w:firstLine="397"/>
        <w:jc w:val="both"/>
        <w:rPr>
          <w:spacing w:val="-4"/>
          <w:sz w:val="20"/>
        </w:rPr>
      </w:pPr>
      <w:r>
        <w:rPr>
          <w:spacing w:val="-4"/>
          <w:sz w:val="20"/>
        </w:rPr>
        <w:t>В XIХ веке выдающиеся русские ученые-востоковеды В.В. Бартольд, Х.М.(М.Д.) Френ, используя сведения арабских источников, прежде всего «Записки-Рисалет» Ахмеда Ибн Фадлана, пытались локализовать страну Ису/Вису в районе Белоозера, связывая данный народ с весью. Уже в прошлом веке М.В. Талицкий, Д.А. Мачинский, А.Е. Леонтьев, Т.М. Калинина и ряд других ученых стали помещать страну Вису/Ису с верхним Прикамьем.</w:t>
      </w:r>
    </w:p>
    <w:p w14:paraId="767F6181" w14:textId="77777777" w:rsidR="00CD484C" w:rsidRDefault="00CD484C">
      <w:pPr>
        <w:ind w:firstLine="397"/>
        <w:jc w:val="both"/>
        <w:rPr>
          <w:spacing w:val="-4"/>
          <w:sz w:val="20"/>
        </w:rPr>
      </w:pPr>
      <w:r>
        <w:rPr>
          <w:spacing w:val="-4"/>
          <w:sz w:val="20"/>
        </w:rPr>
        <w:t>Страна Вису впервые упоминается в «Записках» Ибн Фадлана, наряду с легендарными йаджудж и  маджудж. Эмир булгаров йлтазар Алмуш</w:t>
      </w:r>
      <w:r>
        <w:rPr>
          <w:rStyle w:val="a6"/>
          <w:spacing w:val="-4"/>
          <w:sz w:val="20"/>
        </w:rPr>
        <w:footnoteReference w:customMarkFollows="1" w:id="94"/>
        <w:t>1</w:t>
      </w:r>
      <w:r>
        <w:rPr>
          <w:spacing w:val="-4"/>
          <w:sz w:val="20"/>
        </w:rPr>
        <w:t xml:space="preserve"> дважды сообщал секретарю посольства С(а)усана ар-Рассии о том, что до страны Вису три месяца пути. С Вису булгары вели оживленную торговлю</w:t>
      </w:r>
      <w:r>
        <w:rPr>
          <w:rStyle w:val="a6"/>
          <w:spacing w:val="-4"/>
          <w:sz w:val="20"/>
        </w:rPr>
        <w:footnoteReference w:customMarkFollows="1" w:id="95"/>
        <w:t>2</w:t>
      </w:r>
      <w:r>
        <w:rPr>
          <w:spacing w:val="-4"/>
          <w:sz w:val="20"/>
        </w:rPr>
        <w:t>. Второй и последний раз оригинальные сведения о Вису  приводятся Абу Хамидом ал-Гарнати. Путешественник последовательно описывает Вису и лишь затем народ и страну Йюра. Народ Вису платил харадж булгарам. Источник, сообщает о двух способах торговли Булгара с жителями страны Йюра. Первый – посреднический, когда мечи в Приобье доставлялись посредством Вису; и второй – непосредственный, когда этот же товар булгарские купцы везли в Йюру самостоятельно. Таким образом, согласно ал-Гарнати, жители Вису выглядят как равноправные торговые партнеры Булгара</w:t>
      </w:r>
      <w:r>
        <w:rPr>
          <w:rStyle w:val="a6"/>
          <w:spacing w:val="-4"/>
          <w:sz w:val="20"/>
        </w:rPr>
        <w:footnoteReference w:customMarkFollows="1" w:id="96"/>
        <w:t>3</w:t>
      </w:r>
      <w:r>
        <w:rPr>
          <w:spacing w:val="-4"/>
          <w:sz w:val="20"/>
        </w:rPr>
        <w:t>.</w:t>
      </w:r>
    </w:p>
    <w:p w14:paraId="0FCC9345" w14:textId="77309918" w:rsidR="00CD484C" w:rsidRDefault="00395416">
      <w:pPr>
        <w:ind w:firstLine="397"/>
        <w:jc w:val="both"/>
        <w:rPr>
          <w:sz w:val="20"/>
        </w:rPr>
      </w:pPr>
      <w:r>
        <w:rPr>
          <w:noProof/>
          <w:sz w:val="20"/>
        </w:rPr>
        <mc:AlternateContent>
          <mc:Choice Requires="wps">
            <w:drawing>
              <wp:anchor distT="0" distB="0" distL="114300" distR="114300" simplePos="0" relativeHeight="251682304" behindDoc="0" locked="1" layoutInCell="1" allowOverlap="1" wp14:anchorId="6C539796" wp14:editId="61EA5E4D">
                <wp:simplePos x="0" y="0"/>
                <wp:positionH relativeFrom="column">
                  <wp:align>center</wp:align>
                </wp:positionH>
                <wp:positionV relativeFrom="paragraph">
                  <wp:posOffset>-252730</wp:posOffset>
                </wp:positionV>
                <wp:extent cx="4095750" cy="186690"/>
                <wp:effectExtent l="1905" t="0" r="0" b="0"/>
                <wp:wrapNone/>
                <wp:docPr id="503412048"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31918"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0DA66E3C"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9796" id="Text Box 244" o:spid="_x0000_s1087" type="#_x0000_t202" style="position:absolute;left:0;text-align:left;margin-left:0;margin-top:-19.9pt;width:322.5pt;height:14.7pt;z-index:2516823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BO8PG47wEAAMIDAAAOAAAAAAAAAAAAAAAAAC4CAABkcnMvZTJv&#10;RG9jLnhtbFBLAQItABQABgAIAAAAIQCnTgMH3gAAAAgBAAAPAAAAAAAAAAAAAAAAAEkEAABkcnMv&#10;ZG93bnJldi54bWxQSwUGAAAAAAQABADzAAAAVAUAAAAA&#10;" stroked="f">
                <v:textbox inset="0,0,0,0">
                  <w:txbxContent>
                    <w:p w14:paraId="2EC31918"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0DA66E3C" w14:textId="77777777" w:rsidR="00AE2133" w:rsidRDefault="00AE2133">
                      <w:pPr>
                        <w:rPr>
                          <w:b/>
                          <w:bCs/>
                          <w:sz w:val="2"/>
                          <w:u w:val="single"/>
                        </w:rPr>
                      </w:pPr>
                    </w:p>
                  </w:txbxContent>
                </v:textbox>
                <w10:anchorlock/>
              </v:shape>
            </w:pict>
          </mc:Fallback>
        </mc:AlternateContent>
      </w:r>
      <w:r w:rsidR="00CD484C">
        <w:rPr>
          <w:sz w:val="20"/>
        </w:rPr>
        <w:t xml:space="preserve">Эти сведения позволяют говорить, о Вису как о промежуточной стране на пути в страну Йюра  Локализация Йюры – летописной Югры, куда «старые мужи» совершали походы за данью на «Югру и Самоядь» (ПВЛ, с. 107–108, 245; 126–127, 265), находящаяся в Приобье ни у кого сомнений не вызывает. На основе сочинения придворного врача Сельджукидов ал-Марвази – автор конца XI – начала XII вв., сообщавшего о «Черней земле», восходящее к ал-Гарнати о «Черном море», Б.Н. Заходер, рассмотрев топонимию устья Сев.Двины (Морж-гора, Усть-морж) убедительно указал где добывали моржей, кость которого шла на изготовление рукоятей кинжалов, </w:t>
      </w:r>
      <w:r w:rsidR="00CD484C">
        <w:rPr>
          <w:sz w:val="20"/>
        </w:rPr>
        <w:lastRenderedPageBreak/>
        <w:t>– булгарские купцы достигали Беломорья именно в этом месте</w:t>
      </w:r>
      <w:r w:rsidR="00CD484C">
        <w:rPr>
          <w:rStyle w:val="a6"/>
          <w:sz w:val="20"/>
        </w:rPr>
        <w:footnoteReference w:customMarkFollows="1" w:id="97"/>
        <w:t>4</w:t>
      </w:r>
      <w:r w:rsidR="00CD484C">
        <w:rPr>
          <w:sz w:val="20"/>
        </w:rPr>
        <w:t xml:space="preserve">, поэтому легендарные йаджудж и маджудж ибн Фадлана можно локализовать на побережье Сев.ледовитого океана между устьями .Сев.Двины и Оби. </w:t>
      </w:r>
    </w:p>
    <w:p w14:paraId="363A65DB" w14:textId="77777777" w:rsidR="00CD484C" w:rsidRDefault="00CD484C">
      <w:pPr>
        <w:ind w:firstLine="397"/>
        <w:jc w:val="both"/>
        <w:rPr>
          <w:sz w:val="20"/>
        </w:rPr>
      </w:pPr>
      <w:r>
        <w:rPr>
          <w:sz w:val="20"/>
        </w:rPr>
        <w:t>Попытка  локализовать страну Ису/Вису на основе астрономических наблюдений, связанных с сообщениями источников, как о длине ночи в  стране, так и временем закипания воды в котелке, предпринятая И.Ю. Пастушенко,  в полосе 57</w:t>
      </w:r>
      <w:r>
        <w:rPr>
          <w:sz w:val="20"/>
          <w:u w:val="single"/>
        </w:rPr>
        <w:t>+</w:t>
      </w:r>
      <w:r>
        <w:rPr>
          <w:sz w:val="20"/>
        </w:rPr>
        <w:t>0,5° с.ш., отражает, по нашему мнению, только южную границу страны Вису</w:t>
      </w:r>
      <w:r>
        <w:rPr>
          <w:rStyle w:val="a6"/>
          <w:sz w:val="20"/>
        </w:rPr>
        <w:footnoteReference w:customMarkFollows="1" w:id="98"/>
        <w:t>5</w:t>
      </w:r>
      <w:r>
        <w:rPr>
          <w:sz w:val="20"/>
        </w:rPr>
        <w:t xml:space="preserve"> – 57-я параллель как раз включает в себя в Вятско-Камском ареале (ВКА) устье реки Кильмезь. Северной границей следует считать Верхнюю Каму – это связано с топографией гривен – шейного женского украшения древних удмуртов, бывшее атрибутом женского, а с Х в. и мужского костюма древних удмуртов, картографирование которых осуществлялось А.Г. Ивановым. Выделяется два локальных района массового выпадения гривен. Один вокруг г. Глазова, второй – на верхней Каме в районе Чердыни</w:t>
      </w:r>
      <w:r>
        <w:rPr>
          <w:rStyle w:val="a6"/>
          <w:sz w:val="20"/>
        </w:rPr>
        <w:footnoteReference w:customMarkFollows="1" w:id="99"/>
        <w:t>6</w:t>
      </w:r>
      <w:r>
        <w:rPr>
          <w:sz w:val="20"/>
        </w:rPr>
        <w:t xml:space="preserve">. </w:t>
      </w:r>
    </w:p>
    <w:p w14:paraId="79624757" w14:textId="77777777" w:rsidR="00CD484C" w:rsidRDefault="00CD484C">
      <w:pPr>
        <w:ind w:firstLine="397"/>
        <w:jc w:val="both"/>
        <w:rPr>
          <w:spacing w:val="-2"/>
          <w:sz w:val="20"/>
        </w:rPr>
      </w:pPr>
      <w:r>
        <w:rPr>
          <w:spacing w:val="-2"/>
          <w:sz w:val="20"/>
        </w:rPr>
        <w:t>Уже приходилось до этого высказывать предположение о том, что данное украшение, названное А.А. Спицыным и Н.Г. Первухиным гривной глазовского типа, выполняло, кроме того, и функцию платежного средства. Существует две точки зрения по поводу генезиса древнеудмуртской гривны т.н. «глазовского типа»: первая, – скандинавское происхождение; вторая – которой в настоящее время придерживается М.Г. Иванова и А.Г. Иванов – происхождения местного. Имеется два основания, указывающие на оригинальность данного артефакта – это витой стержень и застежка в виде многогранной колбочки (Рис. 1) и к ним долго не могли подобрать пространственно-хронологические аналогии. Если витые стержни в настоящее время как будто находят аналогии в предшествующих археологических комплексах VIII в., то застежка-колбочка имеет прямые параллели в соответствующих скандинавских фибулах, которые опубликовала Н.В. Хвощинская с Рюрикова городища. Абсолютное большинство фибул, имеют многогранную пирамидальную головку. Изготовляться они могли где угодно, в том числе и на территории Древней Руси. Скандинавский культурогенез их несомненен. Датируются по М. Мальму Х – первая половина XI вв.</w:t>
      </w:r>
      <w:r>
        <w:rPr>
          <w:rStyle w:val="a6"/>
          <w:spacing w:val="-2"/>
          <w:sz w:val="20"/>
        </w:rPr>
        <w:footnoteReference w:customMarkFollows="1" w:id="100"/>
        <w:t>7</w:t>
      </w:r>
      <w:r>
        <w:rPr>
          <w:spacing w:val="-2"/>
          <w:sz w:val="20"/>
        </w:rPr>
        <w:t xml:space="preserve"> Следует обратить внимание, что еще в начале прошлого века крупный шведский археолог Т.Арне,  </w:t>
      </w:r>
      <w:r>
        <w:rPr>
          <w:spacing w:val="-2"/>
          <w:sz w:val="20"/>
        </w:rPr>
        <w:lastRenderedPageBreak/>
        <w:t>использовал  гривны глазовского типа в качестве аналогий к браслетам с витым дротом и многогранной головкой, в большом количестве находимых в Швеции, для документирования связей населения  Прикамья со странами Балтики. /Рис. 2/</w:t>
      </w:r>
      <w:r>
        <w:rPr>
          <w:rStyle w:val="a6"/>
          <w:spacing w:val="-2"/>
          <w:sz w:val="20"/>
        </w:rPr>
        <w:footnoteReference w:customMarkFollows="1" w:id="101"/>
        <w:t>8</w:t>
      </w:r>
      <w:r>
        <w:rPr>
          <w:spacing w:val="-2"/>
          <w:sz w:val="20"/>
        </w:rPr>
        <w:t xml:space="preserve">. Культурогенез шейного украшения древних удмуртов имел два источника – местная традиция и заимствование, связанное со скандинавской культурной традицией. Понятно, что синтез различных культурных истоков происходил на местной основе и, возможно, как показывают петли на ряде гривен, находящиеся в собрании Кировского краеведческого музея, имеющие размеры меньшие, чем застежка-колбочка – их использование в качестве украшение носило культовый характер. </w:t>
      </w:r>
    </w:p>
    <w:p w14:paraId="4A57CB11" w14:textId="77777777" w:rsidR="00CD484C" w:rsidRDefault="00CD484C">
      <w:pPr>
        <w:ind w:firstLine="397"/>
        <w:jc w:val="both"/>
        <w:rPr>
          <w:sz w:val="20"/>
        </w:rPr>
      </w:pPr>
    </w:p>
    <w:p w14:paraId="25162BC3" w14:textId="53777FF0" w:rsidR="00CD484C" w:rsidRDefault="00395416">
      <w:pPr>
        <w:jc w:val="center"/>
        <w:rPr>
          <w:sz w:val="20"/>
        </w:rPr>
      </w:pPr>
      <w:r>
        <w:rPr>
          <w:noProof/>
          <w:sz w:val="20"/>
        </w:rPr>
        <w:drawing>
          <wp:inline distT="0" distB="0" distL="0" distR="0" wp14:anchorId="755CF01A" wp14:editId="3C7AF0DF">
            <wp:extent cx="3771900" cy="2008505"/>
            <wp:effectExtent l="19050" t="19050" r="0" b="0"/>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lum bright="12000" contrast="18000"/>
                      <a:extLst>
                        <a:ext uri="{28A0092B-C50C-407E-A947-70E740481C1C}">
                          <a14:useLocalDpi xmlns:a14="http://schemas.microsoft.com/office/drawing/2010/main" val="0"/>
                        </a:ext>
                      </a:extLst>
                    </a:blip>
                    <a:srcRect/>
                    <a:stretch>
                      <a:fillRect/>
                    </a:stretch>
                  </pic:blipFill>
                  <pic:spPr bwMode="auto">
                    <a:xfrm>
                      <a:off x="0" y="0"/>
                      <a:ext cx="3771900" cy="2008505"/>
                    </a:xfrm>
                    <a:prstGeom prst="rect">
                      <a:avLst/>
                    </a:prstGeom>
                    <a:noFill/>
                    <a:ln w="6350" cmpd="sng">
                      <a:solidFill>
                        <a:srgbClr val="000000"/>
                      </a:solidFill>
                      <a:miter lim="800000"/>
                      <a:headEnd/>
                      <a:tailEnd/>
                    </a:ln>
                    <a:effectLst/>
                  </pic:spPr>
                </pic:pic>
              </a:graphicData>
            </a:graphic>
          </wp:inline>
        </w:drawing>
      </w:r>
    </w:p>
    <w:p w14:paraId="5E99907C" w14:textId="77777777" w:rsidR="00CD484C" w:rsidRDefault="00CD484C">
      <w:pPr>
        <w:pStyle w:val="a4"/>
        <w:ind w:firstLine="397"/>
        <w:jc w:val="both"/>
        <w:rPr>
          <w:lang w:val="ru-RU"/>
        </w:rPr>
      </w:pPr>
    </w:p>
    <w:p w14:paraId="4448CB2D" w14:textId="77777777" w:rsidR="00CD484C" w:rsidRDefault="00CD484C">
      <w:pPr>
        <w:pStyle w:val="a4"/>
        <w:jc w:val="center"/>
        <w:rPr>
          <w:i/>
          <w:iCs/>
          <w:sz w:val="18"/>
          <w:lang w:val="ru-RU"/>
        </w:rPr>
      </w:pPr>
      <w:r>
        <w:rPr>
          <w:b/>
          <w:bCs/>
          <w:i/>
          <w:iCs/>
          <w:sz w:val="18"/>
          <w:lang w:val="ru-RU"/>
        </w:rPr>
        <w:t>Рис. 1.</w:t>
      </w:r>
      <w:r>
        <w:rPr>
          <w:i/>
          <w:iCs/>
          <w:sz w:val="18"/>
          <w:lang w:val="ru-RU"/>
        </w:rPr>
        <w:t xml:space="preserve"> Застежка древнеудмуртской гривны так называемого </w:t>
      </w:r>
      <w:r>
        <w:rPr>
          <w:i/>
          <w:iCs/>
          <w:sz w:val="18"/>
          <w:lang w:val="ru-RU"/>
        </w:rPr>
        <w:br/>
        <w:t>«глазовского типа». Серебро. Кировский областной краеведческий музей. /Фото/</w:t>
      </w:r>
    </w:p>
    <w:p w14:paraId="37A746EE" w14:textId="77777777" w:rsidR="00CD484C" w:rsidRDefault="00CD484C">
      <w:pPr>
        <w:ind w:firstLine="397"/>
        <w:jc w:val="both"/>
        <w:rPr>
          <w:sz w:val="20"/>
        </w:rPr>
      </w:pPr>
    </w:p>
    <w:p w14:paraId="2758DA2D" w14:textId="57BAB858" w:rsidR="00CD484C" w:rsidRDefault="00395416">
      <w:pPr>
        <w:jc w:val="center"/>
        <w:rPr>
          <w:sz w:val="20"/>
        </w:rPr>
      </w:pPr>
      <w:r>
        <w:rPr>
          <w:noProof/>
          <w:sz w:val="20"/>
        </w:rPr>
        <w:lastRenderedPageBreak/>
        <mc:AlternateContent>
          <mc:Choice Requires="wps">
            <w:drawing>
              <wp:anchor distT="0" distB="0" distL="114300" distR="114300" simplePos="0" relativeHeight="251683328" behindDoc="0" locked="1" layoutInCell="1" allowOverlap="1" wp14:anchorId="5DEB4C1A" wp14:editId="53EA1F2C">
                <wp:simplePos x="0" y="0"/>
                <wp:positionH relativeFrom="column">
                  <wp:posOffset>0</wp:posOffset>
                </wp:positionH>
                <wp:positionV relativeFrom="paragraph">
                  <wp:posOffset>-252730</wp:posOffset>
                </wp:positionV>
                <wp:extent cx="4095750" cy="186690"/>
                <wp:effectExtent l="0" t="1905" r="3810" b="1905"/>
                <wp:wrapNone/>
                <wp:docPr id="854237112"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2C01B"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4870B4DC"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B4C1A" id="Text Box 245" o:spid="_x0000_s1088" type="#_x0000_t202" style="position:absolute;left:0;text-align:left;margin-left:0;margin-top:-19.9pt;width:322.5pt;height:14.7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b5w5G7wEAAMIDAAAOAAAAAAAAAAAAAAAAAC4CAABkcnMvZTJv&#10;RG9jLnhtbFBLAQItABQABgAIAAAAIQCnTgMH3gAAAAgBAAAPAAAAAAAAAAAAAAAAAEkEAABkcnMv&#10;ZG93bnJldi54bWxQSwUGAAAAAAQABADzAAAAVAUAAAAA&#10;" stroked="f">
                <v:textbox inset="0,0,0,0">
                  <w:txbxContent>
                    <w:p w14:paraId="5562C01B"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4870B4DC" w14:textId="77777777" w:rsidR="00AE2133" w:rsidRDefault="00AE2133">
                      <w:pPr>
                        <w:rPr>
                          <w:b/>
                          <w:bCs/>
                          <w:sz w:val="2"/>
                          <w:u w:val="single"/>
                        </w:rPr>
                      </w:pPr>
                    </w:p>
                  </w:txbxContent>
                </v:textbox>
                <w10:anchorlock/>
              </v:shape>
            </w:pict>
          </mc:Fallback>
        </mc:AlternateContent>
      </w:r>
      <w:r w:rsidR="00CD484C">
        <w:rPr>
          <w:sz w:val="20"/>
        </w:rPr>
        <w:object w:dxaOrig="10501" w:dyaOrig="6584" w14:anchorId="0973FAFA">
          <v:shape id="_x0000_i1033" type="#_x0000_t75" style="width:220.9pt;height:141pt" o:ole="" o:bordertopcolor="this" o:borderleftcolor="this" o:borderbottomcolor="this" o:borderrightcolor="this">
            <v:imagedata r:id="rId58" o:title="" gain="2.5" blacklevel="11796f"/>
            <w10:bordertop type="single" width="4"/>
            <w10:borderleft type="single" width="4"/>
            <w10:borderbottom type="single" width="4"/>
            <w10:borderright type="single" width="4"/>
          </v:shape>
          <o:OLEObject Type="Embed" ProgID="PBrush" ShapeID="_x0000_i1033" DrawAspect="Content" ObjectID="_1816884173" r:id="rId59"/>
        </w:object>
      </w:r>
    </w:p>
    <w:p w14:paraId="16B6AF4A" w14:textId="77777777" w:rsidR="00CD484C" w:rsidRDefault="00CD484C">
      <w:pPr>
        <w:ind w:firstLine="397"/>
        <w:jc w:val="both"/>
        <w:rPr>
          <w:sz w:val="20"/>
        </w:rPr>
      </w:pPr>
    </w:p>
    <w:p w14:paraId="796F7389" w14:textId="77777777" w:rsidR="00CD484C" w:rsidRDefault="00CD484C">
      <w:pPr>
        <w:pStyle w:val="31"/>
        <w:rPr>
          <w:szCs w:val="24"/>
        </w:rPr>
      </w:pPr>
      <w:r>
        <w:rPr>
          <w:b/>
          <w:bCs/>
          <w:szCs w:val="24"/>
        </w:rPr>
        <w:t>Рис. 2.</w:t>
      </w:r>
      <w:r>
        <w:rPr>
          <w:szCs w:val="24"/>
        </w:rPr>
        <w:t xml:space="preserve"> Фрагмент браслета с многогранной головкой </w:t>
      </w:r>
      <w:r>
        <w:rPr>
          <w:szCs w:val="24"/>
        </w:rPr>
        <w:br/>
        <w:t>(по Т. Арне. Серебро. Швеция)</w:t>
      </w:r>
    </w:p>
    <w:p w14:paraId="43B03DD0" w14:textId="77777777" w:rsidR="00CD484C" w:rsidRDefault="00CD484C">
      <w:pPr>
        <w:ind w:firstLine="397"/>
        <w:jc w:val="both"/>
        <w:rPr>
          <w:sz w:val="20"/>
        </w:rPr>
      </w:pPr>
    </w:p>
    <w:p w14:paraId="5B4035E5" w14:textId="77777777" w:rsidR="00CD484C" w:rsidRDefault="00CD484C">
      <w:pPr>
        <w:ind w:firstLine="397"/>
        <w:jc w:val="both"/>
        <w:rPr>
          <w:sz w:val="20"/>
        </w:rPr>
      </w:pPr>
      <w:r>
        <w:rPr>
          <w:sz w:val="20"/>
        </w:rPr>
        <w:t>В свое время, В.Л. Янин, имея, вероятно, ввиду гривну глазовского типа, отметил, что вес шейной гривны в одном из кладов Прика</w:t>
      </w:r>
      <w:r>
        <w:rPr>
          <w:sz w:val="20"/>
        </w:rPr>
        <w:softHyphen/>
        <w:t>мья соответствует норме гривны серебра XII–XIV вв., т.е. 197–204 г. Кроме того, исследователь указывал на важность изучения весо</w:t>
      </w:r>
      <w:r>
        <w:rPr>
          <w:sz w:val="20"/>
        </w:rPr>
        <w:softHyphen/>
        <w:t>вых характеристик шейных украшений для отечественной метрологии</w:t>
      </w:r>
      <w:r>
        <w:rPr>
          <w:rStyle w:val="a6"/>
          <w:sz w:val="20"/>
        </w:rPr>
        <w:footnoteReference w:customMarkFollows="1" w:id="102"/>
        <w:t>9</w:t>
      </w:r>
      <w:r>
        <w:rPr>
          <w:sz w:val="20"/>
        </w:rPr>
        <w:t xml:space="preserve">. </w:t>
      </w:r>
    </w:p>
    <w:p w14:paraId="49606A28" w14:textId="77777777" w:rsidR="00CD484C" w:rsidRDefault="00CD484C">
      <w:pPr>
        <w:ind w:firstLine="397"/>
        <w:jc w:val="both"/>
        <w:rPr>
          <w:sz w:val="20"/>
        </w:rPr>
      </w:pPr>
      <w:r>
        <w:rPr>
          <w:sz w:val="20"/>
        </w:rPr>
        <w:t>Вес целых гривен, хранящихся в фондах Кировского областного краеведческого музея, не выходит за пределы «уставных» норм и составляет: 200,5; 207,5; 207,2 г. Необходимо отметить наличие явно детской гривны диаметром 16 см и весом 86,4 г., что уже известно по конкретным археологическим материалам из раскопок Р.Д. Голдиной и В.А Кананина верхокамского варианта родановской АК, где подобный артефакт был найден в погребении девочки</w:t>
      </w:r>
      <w:r>
        <w:rPr>
          <w:rStyle w:val="a6"/>
          <w:sz w:val="20"/>
        </w:rPr>
        <w:footnoteReference w:customMarkFollows="1" w:id="103"/>
        <w:t>10</w:t>
      </w:r>
      <w:r>
        <w:rPr>
          <w:sz w:val="20"/>
        </w:rPr>
        <w:t>.</w:t>
      </w:r>
    </w:p>
    <w:p w14:paraId="12D563D0" w14:textId="77777777" w:rsidR="00CD484C" w:rsidRDefault="00CD484C">
      <w:pPr>
        <w:ind w:firstLine="397"/>
        <w:jc w:val="both"/>
        <w:rPr>
          <w:sz w:val="20"/>
        </w:rPr>
      </w:pPr>
      <w:r>
        <w:rPr>
          <w:sz w:val="20"/>
        </w:rPr>
        <w:t>По сведениям собранным Н.Б. Крыласовой, гривны «глазовского типа» встречаются в богатых погребениях, процент которых составляет 1,3. Они входили в состав шейно-нагрудых украшений женского и мужского костюма, включающие в себя стеклянных и каменные бусы, металлические привески, монеты и подвески. Серебряные гривны отражают социальный статус их обладателей, выступая в роли талисмана-оберега от действий колдунов, магии, нечистой силы</w:t>
      </w:r>
      <w:r>
        <w:rPr>
          <w:rStyle w:val="a6"/>
          <w:sz w:val="20"/>
        </w:rPr>
        <w:footnoteReference w:customMarkFollows="1" w:id="104"/>
        <w:t>11</w:t>
      </w:r>
      <w:r>
        <w:rPr>
          <w:sz w:val="20"/>
        </w:rPr>
        <w:t>.</w:t>
      </w:r>
    </w:p>
    <w:p w14:paraId="1F62EFE4" w14:textId="77777777" w:rsidR="00CD484C" w:rsidRDefault="00CD484C">
      <w:pPr>
        <w:ind w:firstLine="397"/>
        <w:jc w:val="both"/>
        <w:rPr>
          <w:sz w:val="20"/>
        </w:rPr>
      </w:pPr>
      <w:r>
        <w:rPr>
          <w:sz w:val="20"/>
        </w:rPr>
        <w:lastRenderedPageBreak/>
        <w:t>Помимо сакрального характера, данные гривны являлись средством обращения и платежа, что документируется не только и не, сколько их находками в кладах – до появления серебра местное население зарывало  бронзовые украшения – а сокрытие фрагментов данного платежного средства</w:t>
      </w:r>
      <w:r>
        <w:rPr>
          <w:rStyle w:val="a6"/>
          <w:sz w:val="20"/>
        </w:rPr>
        <w:footnoteReference w:customMarkFollows="1" w:id="105"/>
        <w:t>12</w:t>
      </w:r>
      <w:r>
        <w:rPr>
          <w:sz w:val="20"/>
        </w:rPr>
        <w:t>.</w:t>
      </w:r>
    </w:p>
    <w:p w14:paraId="3199C2B0" w14:textId="77777777" w:rsidR="00CD484C" w:rsidRDefault="00CD484C">
      <w:pPr>
        <w:pStyle w:val="a7"/>
        <w:ind w:firstLine="397"/>
        <w:rPr>
          <w:sz w:val="20"/>
          <w:lang w:val="ru-RU"/>
        </w:rPr>
      </w:pPr>
      <w:r>
        <w:rPr>
          <w:sz w:val="20"/>
          <w:lang w:val="ru-RU"/>
        </w:rPr>
        <w:t>Наибольшая концентрация находок гривен связана с Чепцой, прежде всего вокруг г.Глазова. На городище Гурьякар М.Г. Иванова – основной исследователь чепецкой АК – сделала находку клада рассматриваемого археологического и нумизматического артефакта, состоящего из 9 гривен, завернутого в бересту, безусловно, собственного производства</w:t>
      </w:r>
      <w:r>
        <w:rPr>
          <w:rStyle w:val="a6"/>
          <w:sz w:val="20"/>
          <w:lang w:val="ru-RU"/>
        </w:rPr>
        <w:footnoteReference w:customMarkFollows="1" w:id="106"/>
        <w:t>13</w:t>
      </w:r>
      <w:r>
        <w:rPr>
          <w:sz w:val="20"/>
          <w:lang w:val="ru-RU"/>
        </w:rPr>
        <w:t xml:space="preserve">. Подобная находка отвергает возможность обратного толкования топографии древнеудмуртских гривен. </w:t>
      </w:r>
    </w:p>
    <w:p w14:paraId="72CEB100" w14:textId="77777777" w:rsidR="00CD484C" w:rsidRDefault="00CD484C">
      <w:pPr>
        <w:pStyle w:val="a7"/>
        <w:ind w:firstLine="397"/>
        <w:rPr>
          <w:sz w:val="20"/>
          <w:szCs w:val="28"/>
          <w:lang w:val="ru-RU"/>
        </w:rPr>
      </w:pPr>
      <w:r>
        <w:rPr>
          <w:sz w:val="20"/>
          <w:lang w:val="ru-RU"/>
        </w:rPr>
        <w:t>Таким образом, имеющий сложный культурогенез, древнеудмуртские гривны не позднее первой половины IX  в. стали изготовлять и использовать сами древние удмурты, что следует из анализа топографии и археологии данного археологического и нумизматического артефакта. Приведем веса фрагментов гривен, происходящие из коллекции Кировского областного краеведческого музея: 25, 33 (обломок – дрот), 45, 47 (гривна без колбочки), 92, 97, 106 граммов</w:t>
      </w:r>
      <w:r>
        <w:rPr>
          <w:rStyle w:val="a6"/>
          <w:sz w:val="20"/>
          <w:lang w:val="ru-RU"/>
        </w:rPr>
        <w:footnoteReference w:customMarkFollows="1" w:id="107"/>
        <w:t>14</w:t>
      </w:r>
      <w:r>
        <w:rPr>
          <w:sz w:val="20"/>
          <w:lang w:val="ru-RU"/>
        </w:rPr>
        <w:t xml:space="preserve">. Попытаемся реконструировать вес фрагментов, гривен, опубликованных А.А. Спицыным  в 1893 г. – </w:t>
      </w:r>
      <w:r>
        <w:rPr>
          <w:sz w:val="20"/>
          <w:szCs w:val="28"/>
          <w:lang w:val="ru-RU"/>
        </w:rPr>
        <w:t>4</w:t>
      </w:r>
      <w:r>
        <w:rPr>
          <w:sz w:val="20"/>
          <w:lang w:val="ru-RU"/>
        </w:rPr>
        <w:t xml:space="preserve"> </w:t>
      </w:r>
      <w:r>
        <w:rPr>
          <w:sz w:val="20"/>
          <w:szCs w:val="28"/>
          <w:lang w:val="ru-RU"/>
        </w:rPr>
        <w:t>целых и 4 ломаных кольца общим весом</w:t>
      </w:r>
      <w:r>
        <w:rPr>
          <w:sz w:val="20"/>
          <w:lang w:val="ru-RU"/>
        </w:rPr>
        <w:t xml:space="preserve"> </w:t>
      </w:r>
      <w:r>
        <w:rPr>
          <w:sz w:val="20"/>
          <w:szCs w:val="28"/>
          <w:lang w:val="ru-RU"/>
        </w:rPr>
        <w:t>3</w:t>
      </w:r>
      <w:r>
        <w:rPr>
          <w:sz w:val="20"/>
          <w:lang w:val="ru-RU"/>
        </w:rPr>
        <w:t xml:space="preserve"> </w:t>
      </w:r>
      <w:r>
        <w:rPr>
          <w:sz w:val="20"/>
          <w:szCs w:val="28"/>
          <w:lang w:val="ru-RU"/>
        </w:rPr>
        <w:t>ф. 57 зол. Веса отдельных целых гривен оставляют 44 и 47 ф.</w:t>
      </w:r>
      <w:r>
        <w:rPr>
          <w:rStyle w:val="a6"/>
          <w:sz w:val="20"/>
          <w:szCs w:val="28"/>
          <w:lang w:val="ru-RU"/>
        </w:rPr>
        <w:footnoteReference w:customMarkFollows="1" w:id="108"/>
        <w:t>15</w:t>
      </w:r>
      <w:r>
        <w:rPr>
          <w:sz w:val="20"/>
          <w:szCs w:val="28"/>
          <w:lang w:val="ru-RU"/>
        </w:rPr>
        <w:t xml:space="preserve"> С помощью несложных подсчетов установим, что веса 4-х фрагментов находятся в пределах 170,6–176,9</w:t>
      </w:r>
      <w:r>
        <w:rPr>
          <w:b/>
          <w:sz w:val="20"/>
          <w:szCs w:val="28"/>
          <w:lang w:val="ru-RU"/>
        </w:rPr>
        <w:t xml:space="preserve"> </w:t>
      </w:r>
      <w:r>
        <w:rPr>
          <w:sz w:val="20"/>
          <w:szCs w:val="28"/>
          <w:lang w:val="ru-RU"/>
        </w:rPr>
        <w:t xml:space="preserve">г. </w:t>
      </w:r>
      <w:r>
        <w:rPr>
          <w:sz w:val="20"/>
          <w:lang w:val="ru-RU"/>
        </w:rPr>
        <w:t>Все установленные веса кратны, т.е. являются фракциями полвины общеевропейского фунта 204,75 г.</w:t>
      </w:r>
    </w:p>
    <w:p w14:paraId="7E694FBF" w14:textId="77777777" w:rsidR="00CD484C" w:rsidRDefault="00CD484C">
      <w:pPr>
        <w:pStyle w:val="a7"/>
        <w:ind w:firstLine="397"/>
        <w:rPr>
          <w:spacing w:val="-4"/>
          <w:sz w:val="20"/>
          <w:szCs w:val="28"/>
          <w:lang w:val="ru-RU"/>
        </w:rPr>
      </w:pPr>
      <w:r>
        <w:rPr>
          <w:spacing w:val="-4"/>
          <w:sz w:val="20"/>
          <w:szCs w:val="28"/>
          <w:lang w:val="ru-RU"/>
        </w:rPr>
        <w:t>В этой  связи, новейшие разработки А.В. Назаренко в области денежно-весового счета Древней Руси</w:t>
      </w:r>
      <w:r>
        <w:rPr>
          <w:rStyle w:val="a6"/>
          <w:spacing w:val="-4"/>
          <w:sz w:val="20"/>
          <w:szCs w:val="28"/>
          <w:lang w:val="ru-RU"/>
        </w:rPr>
        <w:footnoteReference w:customMarkFollows="1" w:id="109"/>
        <w:t>16</w:t>
      </w:r>
      <w:r>
        <w:rPr>
          <w:spacing w:val="-4"/>
          <w:sz w:val="20"/>
          <w:szCs w:val="28"/>
          <w:lang w:val="ru-RU"/>
        </w:rPr>
        <w:t xml:space="preserve"> и приведенный материал позволяют отказаться от ранее существовавшего мнения, которое состояло в том, что денежный счет древних коми и удмуртов не соответствует счету куфического дирхема.</w:t>
      </w:r>
    </w:p>
    <w:p w14:paraId="2925513E" w14:textId="0583B0F4" w:rsidR="00CD484C" w:rsidRDefault="00395416">
      <w:pPr>
        <w:ind w:firstLine="397"/>
        <w:jc w:val="both"/>
        <w:rPr>
          <w:sz w:val="20"/>
        </w:rPr>
      </w:pPr>
      <w:r>
        <w:rPr>
          <w:noProof/>
          <w:sz w:val="20"/>
        </w:rPr>
        <w:lastRenderedPageBreak/>
        <mc:AlternateContent>
          <mc:Choice Requires="wps">
            <w:drawing>
              <wp:anchor distT="0" distB="0" distL="114300" distR="114300" simplePos="0" relativeHeight="251684352" behindDoc="0" locked="1" layoutInCell="1" allowOverlap="1" wp14:anchorId="26D36FF7" wp14:editId="6814EAE1">
                <wp:simplePos x="0" y="0"/>
                <wp:positionH relativeFrom="column">
                  <wp:posOffset>0</wp:posOffset>
                </wp:positionH>
                <wp:positionV relativeFrom="paragraph">
                  <wp:posOffset>-252730</wp:posOffset>
                </wp:positionV>
                <wp:extent cx="4095750" cy="186690"/>
                <wp:effectExtent l="0" t="1905" r="3810" b="1905"/>
                <wp:wrapNone/>
                <wp:docPr id="956793884"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22204"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2F1FC101"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36FF7" id="Text Box 246" o:spid="_x0000_s1089" type="#_x0000_t202" style="position:absolute;left:0;text-align:left;margin-left:0;margin-top:-19.9pt;width:322.5pt;height:14.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oFaQT7wEAAMIDAAAOAAAAAAAAAAAAAAAAAC4CAABkcnMvZTJv&#10;RG9jLnhtbFBLAQItABQABgAIAAAAIQCnTgMH3gAAAAgBAAAPAAAAAAAAAAAAAAAAAEkEAABkcnMv&#10;ZG93bnJldi54bWxQSwUGAAAAAAQABADzAAAAVAUAAAAA&#10;" stroked="f">
                <v:textbox inset="0,0,0,0">
                  <w:txbxContent>
                    <w:p w14:paraId="27422204"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2F1FC101" w14:textId="77777777" w:rsidR="00AE2133" w:rsidRDefault="00AE2133">
                      <w:pPr>
                        <w:rPr>
                          <w:b/>
                          <w:bCs/>
                          <w:sz w:val="2"/>
                          <w:u w:val="single"/>
                        </w:rPr>
                      </w:pPr>
                    </w:p>
                  </w:txbxContent>
                </v:textbox>
                <w10:anchorlock/>
              </v:shape>
            </w:pict>
          </mc:Fallback>
        </mc:AlternateContent>
      </w:r>
      <w:r w:rsidR="00CD484C">
        <w:rPr>
          <w:sz w:val="20"/>
        </w:rPr>
        <w:t>Клады с куфическими дирхемами в основном выпадали не на торговых путях, а на их стыках, концах и денежных рынках</w:t>
      </w:r>
      <w:r w:rsidR="00CD484C">
        <w:rPr>
          <w:rStyle w:val="a6"/>
          <w:sz w:val="20"/>
        </w:rPr>
        <w:footnoteReference w:customMarkFollows="1" w:id="110"/>
        <w:t>17</w:t>
      </w:r>
      <w:r w:rsidR="00CD484C">
        <w:rPr>
          <w:sz w:val="20"/>
        </w:rPr>
        <w:t xml:space="preserve">. Наиболее ранний клад, выпавший на р. Вятка (в полосе 57–60°) – Лелеки с датой мл. монеты 833 г., документирует в отличие от клада Вятка с датой 835 г., путь на север по Моломе к устью Юга. Клад Лесогурт 841/842 г. отражает окончание торгового пути. Таким образом, путь арабского серебра в IX в. шел по Вятке, где в районе впадения Моломы в Вятку разделялся – одни вел на север в низовья Сев.Двины,  другой – на Чепцу. </w:t>
      </w:r>
    </w:p>
    <w:p w14:paraId="17AA7EEF" w14:textId="77777777" w:rsidR="00CD484C" w:rsidRDefault="00CD484C">
      <w:pPr>
        <w:ind w:firstLine="397"/>
        <w:jc w:val="both"/>
        <w:rPr>
          <w:sz w:val="20"/>
        </w:rPr>
      </w:pPr>
      <w:r>
        <w:rPr>
          <w:sz w:val="20"/>
        </w:rPr>
        <w:t>Клады Глазов 1850 г., зарытый, безусловно, в IX в., и Ягошурский совместно с концентрацией находок гривен отражает наличие денежного рынка, археологически связанного, согласно Р.Д. Голдиной и М.Г. Ивановой с Балезинско-Глазовской группой памятников чепецкой АК. Ягошурский клад 844/845 г., хронологическое распределение, уточнение датировки и типологическую привязку которого произвел А.В. Фомин, состоял из 1432  монет (1252 определяемые и 180 стертые), а также серебряного слитка весом 18 золотников (76,77 г), сложенных в сосуд VIII в. – по мнению. В.П. Даркевича – ферганского происхождения</w:t>
      </w:r>
      <w:r>
        <w:rPr>
          <w:rStyle w:val="a6"/>
          <w:sz w:val="20"/>
        </w:rPr>
        <w:footnoteReference w:customMarkFollows="1" w:id="111"/>
        <w:t>18</w:t>
      </w:r>
      <w:r>
        <w:rPr>
          <w:sz w:val="20"/>
        </w:rPr>
        <w:t>. Чердыньский клад Х в. (246  монет), топографически также совпадающий со вторым после глазовского района распространения шейных гривен, свидетельствует о пути булгарских купцов благодаря Каме на Печору и Югру. Все клады с куфическими монетами в бассейне Вятки и Камы IX–Х вв. выпали в полосе 57–60° с.ш. Топография кладов восточных монет  великолепно коррелирует с находками стеклянных бус с металлической прокладкой</w:t>
      </w:r>
      <w:r>
        <w:rPr>
          <w:rStyle w:val="a6"/>
          <w:sz w:val="20"/>
        </w:rPr>
        <w:footnoteReference w:customMarkFollows="1" w:id="112"/>
        <w:t>19</w:t>
      </w:r>
      <w:r>
        <w:rPr>
          <w:sz w:val="20"/>
        </w:rPr>
        <w:t>. Сопоставление дат младших монет имеющихся в распоряжении науки кладов IX в. позволяет высказать предварительное предположение о становлении денежного обращения в стране Вису(Ису), расположенной в Моломо-Вятско-Камском междуречье, между 833 и 845 г.</w:t>
      </w:r>
      <w:r>
        <w:rPr>
          <w:rStyle w:val="a6"/>
          <w:sz w:val="20"/>
        </w:rPr>
        <w:footnoteReference w:customMarkFollows="1" w:id="113"/>
        <w:t>20</w:t>
      </w:r>
    </w:p>
    <w:p w14:paraId="02D44E46" w14:textId="77777777" w:rsidR="00CD484C" w:rsidRDefault="00CD484C">
      <w:pPr>
        <w:ind w:firstLine="397"/>
        <w:jc w:val="both"/>
        <w:rPr>
          <w:sz w:val="20"/>
        </w:rPr>
      </w:pPr>
      <w:r>
        <w:rPr>
          <w:sz w:val="20"/>
        </w:rPr>
        <w:lastRenderedPageBreak/>
        <w:t>В этой связи, по-видимому, не будет большой ошибкой утверждать, что массовая тезаврация гривен в отмеченных А.Г. Иваноым районах, связана с датой выпадения кладов куфических монет, здесь расположенных. Отсюда, можно сделать вывод о том, что сокрытие чепецких гривен, относится к середине IX  в., а выпадение гривен на верхней Каме – к Х в. Как следствие, представляется возможным не только существенно продвинуться в понимании вопроса о причинах перевода сакральных талисаманов-оберегов, каковыми является шейные женские украшения в сферу денежного обращения и, затем, сбережения, но глубже понять основания тезаврация куфического серебра в Вятско-Камском ареале выпадения восточного, византийского, русского серебра.</w:t>
      </w:r>
    </w:p>
    <w:p w14:paraId="25CB96CB" w14:textId="77777777" w:rsidR="00CD484C" w:rsidRDefault="00CD484C">
      <w:pPr>
        <w:pStyle w:val="a7"/>
        <w:overflowPunct/>
        <w:autoSpaceDE/>
        <w:autoSpaceDN/>
        <w:adjustRightInd/>
        <w:ind w:firstLine="397"/>
        <w:textAlignment w:val="auto"/>
        <w:rPr>
          <w:sz w:val="20"/>
          <w:szCs w:val="24"/>
          <w:lang w:val="ru-RU"/>
        </w:rPr>
      </w:pPr>
      <w:r>
        <w:rPr>
          <w:sz w:val="20"/>
          <w:szCs w:val="24"/>
          <w:lang w:val="ru-RU"/>
        </w:rPr>
        <w:t>Топографическая и, как выясняется, корреляция метрологическая, а также хронологическая – прочно вошедшие в практику датировок соответствующих археологических комплексов – гривен и дирхемов, когда гривны можно датировать  вслед за В.П. Даркевичем в пределах 1-я пол. IX – 1-я пол. XI вв., не оставляет сомнений в том, что, что они участвовали в становлении денежного обращения на земле древних удмуртов и коми-пермяков на основе куфической монеты.</w:t>
      </w:r>
    </w:p>
    <w:p w14:paraId="0E64A88B" w14:textId="77777777" w:rsidR="00CD484C" w:rsidRDefault="00CD484C">
      <w:pPr>
        <w:ind w:firstLine="397"/>
        <w:jc w:val="both"/>
        <w:rPr>
          <w:sz w:val="20"/>
          <w:szCs w:val="16"/>
        </w:rPr>
      </w:pPr>
      <w:r>
        <w:rPr>
          <w:sz w:val="20"/>
          <w:szCs w:val="16"/>
        </w:rPr>
        <w:t>Исследования археологов, этнографов и лингвистов показывают, что  финно-пермские народы: коми-пермяки, северные удмурты средневековья населяли территорию в основном внутри камского кольца, т.е. в полосе между 57–60° с.ш.</w:t>
      </w:r>
      <w:r>
        <w:rPr>
          <w:rStyle w:val="a6"/>
          <w:sz w:val="20"/>
          <w:szCs w:val="16"/>
        </w:rPr>
        <w:footnoteReference w:customMarkFollows="1" w:id="114"/>
        <w:t>21</w:t>
      </w:r>
      <w:r>
        <w:rPr>
          <w:sz w:val="20"/>
          <w:szCs w:val="16"/>
        </w:rPr>
        <w:t xml:space="preserve"> /Рис. 3/.</w:t>
      </w:r>
    </w:p>
    <w:p w14:paraId="46A288DB" w14:textId="77777777" w:rsidR="00CD484C" w:rsidRDefault="00CD484C">
      <w:pPr>
        <w:ind w:firstLine="397"/>
        <w:jc w:val="both"/>
        <w:rPr>
          <w:spacing w:val="-2"/>
          <w:sz w:val="20"/>
        </w:rPr>
      </w:pPr>
      <w:r>
        <w:rPr>
          <w:spacing w:val="-2"/>
          <w:sz w:val="20"/>
        </w:rPr>
        <w:t xml:space="preserve">Остановимся на вопросе исторической географии с позиций топографии. Топоним bjarn (Bjarnaland), как установила Т.Н. Джаксон встречается в основном только в скандинавских источниках и локализуется исследовательницей на западном Беломорье, а также в тех  районах Подвинья, куда проникала ростово-суздальская дань. Русское слово «пермь» согласно современной точке зрения, представленной Е.А. Мельниковой, имеет прибалтийско-финское происхождение, означающее как «земля за рубежом», «окраина», а также «бродячих торговцев», встречается, по В.Н. Татищеву с 967 г., только в русских источниках. Вису/Ису представлена только в арабо-персидской литературе Х–XIII вв. Последнее впрочем не означает, что новгородцы не знали о торговых интересах Булгара в стране Йюра-Югра, о чем свидетельствует сообщение Повести временных лет о походе Гюраты Роговича, состоявшемся, как уже считается установленным, к 114 г. </w:t>
      </w:r>
    </w:p>
    <w:p w14:paraId="6469016A" w14:textId="77777777" w:rsidR="00CD484C" w:rsidRDefault="00CD484C">
      <w:pPr>
        <w:ind w:firstLine="397"/>
        <w:jc w:val="both"/>
        <w:rPr>
          <w:sz w:val="20"/>
          <w:szCs w:val="16"/>
        </w:rPr>
      </w:pPr>
    </w:p>
    <w:p w14:paraId="2B6820C4" w14:textId="12424DA4" w:rsidR="00CD484C" w:rsidRDefault="00395416">
      <w:pPr>
        <w:jc w:val="center"/>
        <w:rPr>
          <w:sz w:val="20"/>
          <w:szCs w:val="16"/>
        </w:rPr>
      </w:pPr>
      <w:r>
        <w:rPr>
          <w:noProof/>
          <w:sz w:val="20"/>
          <w:szCs w:val="16"/>
        </w:rPr>
        <w:lastRenderedPageBreak/>
        <w:drawing>
          <wp:inline distT="0" distB="0" distL="0" distR="0" wp14:anchorId="41700117" wp14:editId="12F9BFDD">
            <wp:extent cx="3293110" cy="4364990"/>
            <wp:effectExtent l="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0">
                      <a:extLst>
                        <a:ext uri="{28A0092B-C50C-407E-A947-70E740481C1C}">
                          <a14:useLocalDpi xmlns:a14="http://schemas.microsoft.com/office/drawing/2010/main" val="0"/>
                        </a:ext>
                      </a:extLst>
                    </a:blip>
                    <a:srcRect r="5743" b="2507"/>
                    <a:stretch>
                      <a:fillRect/>
                    </a:stretch>
                  </pic:blipFill>
                  <pic:spPr bwMode="auto">
                    <a:xfrm>
                      <a:off x="0" y="0"/>
                      <a:ext cx="3293110" cy="4364990"/>
                    </a:xfrm>
                    <a:prstGeom prst="rect">
                      <a:avLst/>
                    </a:prstGeom>
                    <a:noFill/>
                    <a:ln>
                      <a:noFill/>
                    </a:ln>
                  </pic:spPr>
                </pic:pic>
              </a:graphicData>
            </a:graphic>
          </wp:inline>
        </w:drawing>
      </w:r>
    </w:p>
    <w:p w14:paraId="54BDD033" w14:textId="6475AC7C" w:rsidR="00CD484C" w:rsidRDefault="00395416">
      <w:pPr>
        <w:jc w:val="center"/>
        <w:rPr>
          <w:i/>
          <w:iCs/>
          <w:sz w:val="18"/>
          <w:szCs w:val="16"/>
        </w:rPr>
      </w:pPr>
      <w:r>
        <w:rPr>
          <w:b/>
          <w:bCs/>
          <w:i/>
          <w:iCs/>
          <w:noProof/>
          <w:sz w:val="20"/>
          <w:szCs w:val="16"/>
        </w:rPr>
        <mc:AlternateContent>
          <mc:Choice Requires="wps">
            <w:drawing>
              <wp:anchor distT="0" distB="0" distL="114300" distR="114300" simplePos="0" relativeHeight="251685376" behindDoc="0" locked="1" layoutInCell="1" allowOverlap="1" wp14:anchorId="187B2D80" wp14:editId="1A9515E5">
                <wp:simplePos x="0" y="0"/>
                <wp:positionH relativeFrom="column">
                  <wp:posOffset>0</wp:posOffset>
                </wp:positionH>
                <wp:positionV relativeFrom="paragraph">
                  <wp:posOffset>-4616450</wp:posOffset>
                </wp:positionV>
                <wp:extent cx="4095750" cy="186690"/>
                <wp:effectExtent l="0" t="1905" r="3810" b="1905"/>
                <wp:wrapNone/>
                <wp:docPr id="80885204"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645B1"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361C74E3"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B2D80" id="Text Box 247" o:spid="_x0000_s1090" type="#_x0000_t202" style="position:absolute;left:0;text-align:left;margin-left:0;margin-top:-363.5pt;width:322.5pt;height:14.7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oFg7wEAAMIDAAAOAAAAZHJzL2Uyb0RvYy54bWysU8Fu2zAMvQ/YPwi6L3aKNmu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" stroked="f">
                <v:textbox inset="0,0,0,0">
                  <w:txbxContent>
                    <w:p w14:paraId="4D3645B1"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361C74E3" w14:textId="77777777" w:rsidR="00AE2133" w:rsidRDefault="00AE2133">
                      <w:pPr>
                        <w:rPr>
                          <w:b/>
                          <w:bCs/>
                          <w:sz w:val="2"/>
                          <w:u w:val="single"/>
                        </w:rPr>
                      </w:pPr>
                    </w:p>
                  </w:txbxContent>
                </v:textbox>
                <w10:anchorlock/>
              </v:shape>
            </w:pict>
          </mc:Fallback>
        </mc:AlternateContent>
      </w:r>
      <w:r w:rsidR="00CD484C">
        <w:rPr>
          <w:b/>
          <w:bCs/>
          <w:i/>
          <w:iCs/>
          <w:sz w:val="20"/>
          <w:szCs w:val="16"/>
        </w:rPr>
        <w:t>Рис</w:t>
      </w:r>
      <w:r w:rsidR="00CD484C">
        <w:rPr>
          <w:b/>
          <w:bCs/>
          <w:i/>
          <w:iCs/>
          <w:sz w:val="18"/>
          <w:szCs w:val="16"/>
        </w:rPr>
        <w:t>. 3.</w:t>
      </w:r>
      <w:r w:rsidR="00CD484C">
        <w:rPr>
          <w:i/>
          <w:iCs/>
          <w:sz w:val="18"/>
          <w:szCs w:val="16"/>
        </w:rPr>
        <w:t xml:space="preserve">  Карта-схема историко-географических образований </w:t>
      </w:r>
      <w:r w:rsidR="00CD484C">
        <w:rPr>
          <w:i/>
          <w:iCs/>
          <w:sz w:val="18"/>
          <w:szCs w:val="16"/>
        </w:rPr>
        <w:br/>
        <w:t>на Северо-востоке Европы в период средних веков.</w:t>
      </w:r>
    </w:p>
    <w:p w14:paraId="10E91BEE" w14:textId="77777777" w:rsidR="00CD484C" w:rsidRDefault="00CD484C">
      <w:pPr>
        <w:jc w:val="both"/>
        <w:rPr>
          <w:i/>
          <w:iCs/>
          <w:sz w:val="18"/>
          <w:szCs w:val="16"/>
        </w:rPr>
      </w:pPr>
      <w:r>
        <w:rPr>
          <w:b/>
          <w:bCs/>
          <w:i/>
          <w:iCs/>
          <w:sz w:val="18"/>
          <w:szCs w:val="16"/>
        </w:rPr>
        <w:t>а</w:t>
      </w:r>
      <w:r>
        <w:rPr>
          <w:i/>
          <w:iCs/>
          <w:sz w:val="18"/>
          <w:szCs w:val="16"/>
        </w:rPr>
        <w:t xml:space="preserve"> – границы страны Вису арабо-персидских авторов X–XIII вв.;</w:t>
      </w:r>
    </w:p>
    <w:p w14:paraId="59E14669" w14:textId="77777777" w:rsidR="00CD484C" w:rsidRDefault="00CD484C">
      <w:pPr>
        <w:jc w:val="both"/>
        <w:rPr>
          <w:i/>
          <w:iCs/>
          <w:sz w:val="18"/>
          <w:szCs w:val="16"/>
        </w:rPr>
      </w:pPr>
      <w:r>
        <w:rPr>
          <w:b/>
          <w:bCs/>
          <w:i/>
          <w:iCs/>
          <w:sz w:val="18"/>
          <w:szCs w:val="16"/>
        </w:rPr>
        <w:t>б</w:t>
      </w:r>
      <w:r>
        <w:rPr>
          <w:i/>
          <w:iCs/>
          <w:sz w:val="18"/>
          <w:szCs w:val="16"/>
        </w:rPr>
        <w:t xml:space="preserve"> – территория «Вятской земли»;</w:t>
      </w:r>
    </w:p>
    <w:p w14:paraId="325718E4" w14:textId="77777777" w:rsidR="00CD484C" w:rsidRDefault="00CD484C">
      <w:pPr>
        <w:jc w:val="both"/>
        <w:rPr>
          <w:i/>
          <w:iCs/>
          <w:sz w:val="18"/>
          <w:szCs w:val="16"/>
        </w:rPr>
      </w:pPr>
      <w:r>
        <w:rPr>
          <w:b/>
          <w:bCs/>
          <w:i/>
          <w:iCs/>
          <w:sz w:val="18"/>
          <w:szCs w:val="16"/>
        </w:rPr>
        <w:t>в</w:t>
      </w:r>
      <w:r>
        <w:rPr>
          <w:i/>
          <w:iCs/>
          <w:sz w:val="18"/>
          <w:szCs w:val="16"/>
        </w:rPr>
        <w:t xml:space="preserve"> –  1 – находка тиунской печати; 2 – Лопаревский клад 1890 г. Вятской губернии;</w:t>
      </w:r>
    </w:p>
    <w:p w14:paraId="5262A823" w14:textId="77777777" w:rsidR="00CD484C" w:rsidRDefault="00CD484C">
      <w:pPr>
        <w:jc w:val="both"/>
        <w:rPr>
          <w:i/>
          <w:iCs/>
          <w:sz w:val="18"/>
          <w:szCs w:val="16"/>
        </w:rPr>
      </w:pPr>
      <w:r>
        <w:rPr>
          <w:b/>
          <w:bCs/>
          <w:i/>
          <w:iCs/>
          <w:sz w:val="18"/>
          <w:szCs w:val="16"/>
        </w:rPr>
        <w:t>г –</w:t>
      </w:r>
      <w:r>
        <w:rPr>
          <w:i/>
          <w:iCs/>
          <w:sz w:val="18"/>
          <w:szCs w:val="16"/>
        </w:rPr>
        <w:t xml:space="preserve"> путь Юрия Даниловича в Орду зимой 1324/1325 г.;</w:t>
      </w:r>
    </w:p>
    <w:p w14:paraId="2DD9213B" w14:textId="77777777" w:rsidR="00CD484C" w:rsidRDefault="00CD484C">
      <w:pPr>
        <w:jc w:val="both"/>
        <w:rPr>
          <w:i/>
          <w:iCs/>
          <w:sz w:val="18"/>
          <w:szCs w:val="16"/>
        </w:rPr>
      </w:pPr>
      <w:r>
        <w:rPr>
          <w:b/>
          <w:bCs/>
          <w:i/>
          <w:iCs/>
          <w:sz w:val="18"/>
          <w:szCs w:val="16"/>
        </w:rPr>
        <w:t>д</w:t>
      </w:r>
      <w:r>
        <w:rPr>
          <w:i/>
          <w:iCs/>
          <w:sz w:val="18"/>
          <w:szCs w:val="16"/>
        </w:rPr>
        <w:t xml:space="preserve"> – границы Перми по данным письменных источников;</w:t>
      </w:r>
    </w:p>
    <w:p w14:paraId="7DDC9817" w14:textId="77777777" w:rsidR="00CD484C" w:rsidRDefault="00CD484C">
      <w:pPr>
        <w:jc w:val="both"/>
        <w:rPr>
          <w:i/>
          <w:iCs/>
          <w:sz w:val="18"/>
          <w:szCs w:val="16"/>
        </w:rPr>
      </w:pPr>
      <w:r>
        <w:rPr>
          <w:b/>
          <w:bCs/>
          <w:i/>
          <w:iCs/>
          <w:sz w:val="18"/>
          <w:szCs w:val="16"/>
        </w:rPr>
        <w:t>е</w:t>
      </w:r>
      <w:r>
        <w:rPr>
          <w:i/>
          <w:iCs/>
          <w:sz w:val="18"/>
          <w:szCs w:val="16"/>
        </w:rPr>
        <w:t xml:space="preserve"> – границы «пермских мест устюгскмх»;</w:t>
      </w:r>
    </w:p>
    <w:p w14:paraId="12C3AB63" w14:textId="77777777" w:rsidR="00CD484C" w:rsidRDefault="00CD484C">
      <w:pPr>
        <w:jc w:val="both"/>
        <w:rPr>
          <w:i/>
          <w:iCs/>
          <w:sz w:val="18"/>
          <w:szCs w:val="16"/>
        </w:rPr>
      </w:pPr>
      <w:r>
        <w:rPr>
          <w:b/>
          <w:bCs/>
          <w:i/>
          <w:iCs/>
          <w:sz w:val="18"/>
          <w:szCs w:val="16"/>
        </w:rPr>
        <w:t>ж</w:t>
      </w:r>
      <w:r>
        <w:rPr>
          <w:i/>
          <w:iCs/>
          <w:sz w:val="18"/>
          <w:szCs w:val="16"/>
        </w:rPr>
        <w:t xml:space="preserve"> – Верхокамский вариант Родановской археологической культуры;</w:t>
      </w:r>
    </w:p>
    <w:p w14:paraId="7792A058" w14:textId="77777777" w:rsidR="00CD484C" w:rsidRDefault="00CD484C">
      <w:pPr>
        <w:jc w:val="both"/>
        <w:rPr>
          <w:i/>
          <w:iCs/>
          <w:sz w:val="18"/>
          <w:szCs w:val="16"/>
        </w:rPr>
      </w:pPr>
      <w:r>
        <w:rPr>
          <w:b/>
          <w:bCs/>
          <w:i/>
          <w:iCs/>
          <w:sz w:val="18"/>
          <w:szCs w:val="16"/>
        </w:rPr>
        <w:t>з</w:t>
      </w:r>
      <w:r>
        <w:rPr>
          <w:i/>
          <w:iCs/>
          <w:sz w:val="18"/>
          <w:szCs w:val="16"/>
        </w:rPr>
        <w:t xml:space="preserve"> – города, существовавшие в средневековье;</w:t>
      </w:r>
    </w:p>
    <w:p w14:paraId="4F1E56B0" w14:textId="77777777" w:rsidR="00CD484C" w:rsidRDefault="00CD484C">
      <w:pPr>
        <w:jc w:val="both"/>
        <w:rPr>
          <w:i/>
          <w:iCs/>
          <w:sz w:val="18"/>
          <w:szCs w:val="16"/>
        </w:rPr>
      </w:pPr>
      <w:r>
        <w:rPr>
          <w:b/>
          <w:bCs/>
          <w:i/>
          <w:iCs/>
          <w:sz w:val="18"/>
          <w:szCs w:val="16"/>
        </w:rPr>
        <w:t>и</w:t>
      </w:r>
      <w:r>
        <w:rPr>
          <w:i/>
          <w:iCs/>
          <w:sz w:val="18"/>
          <w:szCs w:val="16"/>
        </w:rPr>
        <w:t xml:space="preserve"> – города, существовавшие в средневековье и существующие в настоящее время;</w:t>
      </w:r>
    </w:p>
    <w:p w14:paraId="59F08E8E" w14:textId="77777777" w:rsidR="00CD484C" w:rsidRDefault="00CD484C">
      <w:pPr>
        <w:jc w:val="both"/>
        <w:rPr>
          <w:i/>
          <w:iCs/>
          <w:sz w:val="18"/>
          <w:szCs w:val="16"/>
        </w:rPr>
      </w:pPr>
      <w:r>
        <w:rPr>
          <w:b/>
          <w:bCs/>
          <w:i/>
          <w:iCs/>
          <w:sz w:val="18"/>
          <w:szCs w:val="16"/>
        </w:rPr>
        <w:t>к</w:t>
      </w:r>
      <w:r>
        <w:rPr>
          <w:i/>
          <w:iCs/>
          <w:sz w:val="18"/>
          <w:szCs w:val="16"/>
        </w:rPr>
        <w:t xml:space="preserve"> – современные города;</w:t>
      </w:r>
    </w:p>
    <w:p w14:paraId="7C99B7A5" w14:textId="77777777" w:rsidR="00CD484C" w:rsidRDefault="00CD484C">
      <w:pPr>
        <w:jc w:val="both"/>
        <w:rPr>
          <w:i/>
          <w:iCs/>
          <w:sz w:val="18"/>
          <w:szCs w:val="16"/>
        </w:rPr>
      </w:pPr>
      <w:r>
        <w:rPr>
          <w:b/>
          <w:bCs/>
          <w:i/>
          <w:iCs/>
          <w:sz w:val="18"/>
          <w:szCs w:val="16"/>
        </w:rPr>
        <w:t>л</w:t>
      </w:r>
      <w:r>
        <w:rPr>
          <w:i/>
          <w:iCs/>
          <w:sz w:val="18"/>
          <w:szCs w:val="16"/>
        </w:rPr>
        <w:t xml:space="preserve"> – Юго-Моломский волок;</w:t>
      </w:r>
    </w:p>
    <w:p w14:paraId="302741E2" w14:textId="77777777" w:rsidR="00CD484C" w:rsidRDefault="00CD484C">
      <w:pPr>
        <w:pStyle w:val="a7"/>
        <w:overflowPunct/>
        <w:autoSpaceDE/>
        <w:autoSpaceDN/>
        <w:adjustRightInd/>
        <w:ind w:firstLine="0"/>
        <w:textAlignment w:val="auto"/>
        <w:rPr>
          <w:iCs/>
          <w:spacing w:val="-2"/>
          <w:sz w:val="20"/>
          <w:szCs w:val="24"/>
          <w:lang w:val="ru-RU"/>
        </w:rPr>
      </w:pPr>
      <w:r>
        <w:rPr>
          <w:b/>
          <w:bCs/>
          <w:i/>
          <w:iCs/>
          <w:spacing w:val="-2"/>
          <w:sz w:val="18"/>
          <w:szCs w:val="16"/>
          <w:lang w:val="ru-RU"/>
        </w:rPr>
        <w:t>м</w:t>
      </w:r>
      <w:r>
        <w:rPr>
          <w:i/>
          <w:iCs/>
          <w:spacing w:val="-2"/>
          <w:sz w:val="18"/>
          <w:szCs w:val="16"/>
          <w:lang w:val="ru-RU"/>
        </w:rPr>
        <w:t xml:space="preserve"> – граница наибольшей концентрации гривен «глазовского типа» (по А.Г. Иванову).</w:t>
      </w:r>
    </w:p>
    <w:p w14:paraId="6D174833" w14:textId="77777777" w:rsidR="00CD484C" w:rsidRDefault="00CD484C">
      <w:pPr>
        <w:ind w:firstLine="397"/>
        <w:jc w:val="both"/>
        <w:rPr>
          <w:sz w:val="20"/>
        </w:rPr>
      </w:pPr>
      <w:r>
        <w:rPr>
          <w:sz w:val="20"/>
        </w:rPr>
        <w:lastRenderedPageBreak/>
        <w:t>Исследования археологов, этнографов и лингвистов показывают, что  финно-пермские народы: коми-пермяки, северные удмурты средневековья населяли территорию в основном внутри камского кольца, т.е. в полосе между 57–60° с.ш.</w:t>
      </w:r>
      <w:r>
        <w:rPr>
          <w:rStyle w:val="a6"/>
          <w:sz w:val="20"/>
        </w:rPr>
        <w:footnoteReference w:customMarkFollows="1" w:id="115"/>
        <w:t>22</w:t>
      </w:r>
    </w:p>
    <w:p w14:paraId="3139C936" w14:textId="77777777" w:rsidR="00CD484C" w:rsidRDefault="00CD484C">
      <w:pPr>
        <w:ind w:firstLine="397"/>
        <w:jc w:val="both"/>
        <w:rPr>
          <w:sz w:val="20"/>
        </w:rPr>
      </w:pPr>
      <w:r>
        <w:rPr>
          <w:sz w:val="20"/>
        </w:rPr>
        <w:t>Б.А. Рыбаков, коми-историки Л.Н. Жеребцов, Э.А. Савельева и кировский историк В.В. Низов локализуют Пермь XIV в. в границах рек Вычегда, Молома-Вятка, Кама. Первое, как установил Б.Н. Флоря, уникальное сообщение Вычегодско-(Коми)Вымской летописи под 1212 г. гласит: «Князь ростовский Костентин Всеволодыч заложил град Устюг Великый /.../ брат ево Юрии и свою властию отимал земли по Двине и по Вычегде и по Сухоне и по Юге и пермские дани себе взял»</w:t>
      </w:r>
      <w:r>
        <w:rPr>
          <w:rStyle w:val="a6"/>
          <w:sz w:val="20"/>
        </w:rPr>
        <w:footnoteReference w:customMarkFollows="1" w:id="116"/>
        <w:t>23</w:t>
      </w:r>
      <w:r>
        <w:rPr>
          <w:sz w:val="20"/>
        </w:rPr>
        <w:t>. Под пермскими данями разумеется территория, расположенная южнее Вычегды. Из чего следует, что в географических представлениях Древней Руси означенная земля называлась «Пермью»</w:t>
      </w:r>
      <w:r>
        <w:rPr>
          <w:rStyle w:val="a6"/>
          <w:sz w:val="20"/>
        </w:rPr>
        <w:footnoteReference w:customMarkFollows="1" w:id="117"/>
        <w:t>24</w:t>
      </w:r>
      <w:r>
        <w:rPr>
          <w:sz w:val="20"/>
        </w:rPr>
        <w:t>.</w:t>
      </w:r>
    </w:p>
    <w:p w14:paraId="10E8D9B0" w14:textId="77777777" w:rsidR="00CD484C" w:rsidRDefault="00CD484C">
      <w:pPr>
        <w:ind w:firstLine="397"/>
        <w:jc w:val="both"/>
        <w:rPr>
          <w:sz w:val="20"/>
        </w:rPr>
      </w:pPr>
      <w:r>
        <w:rPr>
          <w:sz w:val="20"/>
        </w:rPr>
        <w:t>Булгарские власти, как известно, старательно охраняли свои торговые интересы   в стране не сколько в Вису/Ису, а Йюра. Так эмир булгар Алмуш дважды сообщал ибн Фадлану, что до страны Вису три месяца пути, а до Йаджудж и Маджудж – в два раза больше. Купцы сами распространяли сведения о народе йюра, как о народе диком, не умеющем торговать, хотя ал-Гарнати отмечал, что при торговых сделках, «…не бывает обмана», причем везде в источниках сообщается не только о форме торговле, представляющей собой реализацию меновой стоимости товаров, но, главное, четкое понимание эквивалентности сделок жителями Йюры.</w:t>
      </w:r>
    </w:p>
    <w:p w14:paraId="4FF3E9D6" w14:textId="668B6B25" w:rsidR="00CD484C" w:rsidRDefault="00CD484C">
      <w:pPr>
        <w:ind w:firstLine="397"/>
        <w:jc w:val="both"/>
        <w:rPr>
          <w:sz w:val="20"/>
        </w:rPr>
      </w:pPr>
      <w:r>
        <w:rPr>
          <w:sz w:val="20"/>
        </w:rPr>
        <w:t>Арабы смутно представляли  территорию к северу от Булгара – они полагали, что Волга имеет 2 истока – главным из которых считали Каму</w:t>
      </w:r>
      <w:r>
        <w:rPr>
          <w:rStyle w:val="a6"/>
          <w:sz w:val="20"/>
        </w:rPr>
        <w:footnoteReference w:customMarkFollows="1" w:id="118"/>
        <w:t>25</w:t>
      </w:r>
      <w:r>
        <w:rPr>
          <w:sz w:val="20"/>
        </w:rPr>
        <w:t>. Уточняя некоторые дефиниции перевода «Записок Ибн Фадлана» в труде А.П. Ковалевского, О.Г. Большаков справедливо предложил этноним «сакалиба» не переводить, а давать без перевода с арабского</w:t>
      </w:r>
      <w:r>
        <w:rPr>
          <w:rStyle w:val="a6"/>
          <w:sz w:val="20"/>
        </w:rPr>
        <w:footnoteReference w:customMarkFollows="1" w:id="119"/>
        <w:t>26</w:t>
      </w:r>
      <w:r>
        <w:rPr>
          <w:sz w:val="20"/>
        </w:rPr>
        <w:t xml:space="preserve">. Неплохо зная  политическую обстановку в халифате, секретарь посольства багдадского халифа ал-Муктадира противопоставил в своем описании ас-сакалиба и </w:t>
      </w:r>
      <w:r w:rsidR="00395416">
        <w:rPr>
          <w:noProof/>
          <w:sz w:val="20"/>
        </w:rPr>
        <w:lastRenderedPageBreak/>
        <mc:AlternateContent>
          <mc:Choice Requires="wps">
            <w:drawing>
              <wp:anchor distT="0" distB="0" distL="114300" distR="114300" simplePos="0" relativeHeight="251686400" behindDoc="0" locked="1" layoutInCell="1" allowOverlap="1" wp14:anchorId="488D4803" wp14:editId="21DAEB8E">
                <wp:simplePos x="0" y="0"/>
                <wp:positionH relativeFrom="column">
                  <wp:posOffset>0</wp:posOffset>
                </wp:positionH>
                <wp:positionV relativeFrom="paragraph">
                  <wp:posOffset>-252730</wp:posOffset>
                </wp:positionV>
                <wp:extent cx="4095750" cy="186690"/>
                <wp:effectExtent l="0" t="1905" r="3810" b="1905"/>
                <wp:wrapNone/>
                <wp:docPr id="302262631"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DA4AB"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32B33B85"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D4803" id="Text Box 248" o:spid="_x0000_s1091" type="#_x0000_t202" style="position:absolute;left:0;text-align:left;margin-left:0;margin-top:-19.9pt;width:322.5pt;height:14.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DDPCs17wEAAMIDAAAOAAAAAAAAAAAAAAAAAC4CAABkcnMvZTJv&#10;RG9jLnhtbFBLAQItABQABgAIAAAAIQCnTgMH3gAAAAgBAAAPAAAAAAAAAAAAAAAAAEkEAABkcnMv&#10;ZG93bnJldi54bWxQSwUGAAAAAAQABADzAAAAVAUAAAAA&#10;" stroked="f">
                <v:textbox inset="0,0,0,0">
                  <w:txbxContent>
                    <w:p w14:paraId="794DA4AB" w14:textId="77777777" w:rsidR="00AE2133" w:rsidRDefault="00AE2133">
                      <w:pPr>
                        <w:pStyle w:val="a3"/>
                        <w:spacing w:before="0" w:after="0"/>
                        <w:rPr>
                          <w:szCs w:val="24"/>
                          <w:u w:val="single"/>
                        </w:rPr>
                      </w:pPr>
                      <w:r>
                        <w:rPr>
                          <w:szCs w:val="24"/>
                          <w:u w:val="single"/>
                        </w:rPr>
                        <w:t xml:space="preserve">                              Приложение 2. Страна Вису…</w:t>
                      </w:r>
                      <w:r>
                        <w:rPr>
                          <w:szCs w:val="24"/>
                          <w:u w:val="single"/>
                        </w:rPr>
                        <w:tab/>
                        <w:t xml:space="preserve">                         </w:t>
                      </w:r>
                      <w:r>
                        <w:rPr>
                          <w:szCs w:val="24"/>
                          <w:u w:val="single"/>
                        </w:rPr>
                        <w:tab/>
                        <w:t xml:space="preserve">        </w:t>
                      </w:r>
                    </w:p>
                    <w:p w14:paraId="32B33B85" w14:textId="77777777" w:rsidR="00AE2133" w:rsidRDefault="00AE2133">
                      <w:pPr>
                        <w:rPr>
                          <w:b/>
                          <w:bCs/>
                          <w:sz w:val="2"/>
                          <w:u w:val="single"/>
                        </w:rPr>
                      </w:pPr>
                    </w:p>
                  </w:txbxContent>
                </v:textbox>
                <w10:anchorlock/>
              </v:shape>
            </w:pict>
          </mc:Fallback>
        </mc:AlternateContent>
      </w:r>
      <w:r>
        <w:rPr>
          <w:sz w:val="20"/>
        </w:rPr>
        <w:t>русов, тогда как в современной специальной литературе сакалиба – славяне или же какая-то часть их</w:t>
      </w:r>
      <w:r>
        <w:rPr>
          <w:rStyle w:val="a6"/>
          <w:sz w:val="20"/>
        </w:rPr>
        <w:footnoteReference w:customMarkFollows="1" w:id="120"/>
        <w:t>27</w:t>
      </w:r>
      <w:r>
        <w:rPr>
          <w:sz w:val="20"/>
        </w:rPr>
        <w:t>.</w:t>
      </w:r>
    </w:p>
    <w:p w14:paraId="5B5E99B9" w14:textId="77777777" w:rsidR="00CD484C" w:rsidRDefault="00CD484C">
      <w:pPr>
        <w:ind w:firstLine="397"/>
        <w:jc w:val="both"/>
        <w:rPr>
          <w:sz w:val="20"/>
        </w:rPr>
      </w:pPr>
      <w:r>
        <w:rPr>
          <w:sz w:val="20"/>
        </w:rPr>
        <w:t>Таким образом, страна Вису(Ису), известная нам только в сочинениях арабо-персидких авторов X–XIII в., располагалось в полосе между 57–60 параллелями в бассейнах рек Вятки и Камы, население которой платило, о чем сообщал Ахмед Ибн Фадлан, налоги Волжской Булгарии</w:t>
      </w:r>
      <w:r>
        <w:rPr>
          <w:rStyle w:val="a6"/>
          <w:sz w:val="20"/>
        </w:rPr>
        <w:footnoteReference w:customMarkFollows="1" w:id="121"/>
        <w:t>28</w:t>
      </w:r>
      <w:r>
        <w:rPr>
          <w:sz w:val="20"/>
        </w:rPr>
        <w:t>.</w:t>
      </w:r>
    </w:p>
    <w:p w14:paraId="573C2606" w14:textId="77777777" w:rsidR="00CD484C" w:rsidRDefault="00CD484C">
      <w:pPr>
        <w:ind w:firstLine="397"/>
        <w:jc w:val="both"/>
        <w:rPr>
          <w:sz w:val="20"/>
        </w:rPr>
      </w:pPr>
    </w:p>
    <w:p w14:paraId="398B8986" w14:textId="77777777" w:rsidR="00CD484C" w:rsidRDefault="00CD484C">
      <w:pPr>
        <w:ind w:firstLine="397"/>
        <w:jc w:val="both"/>
        <w:rPr>
          <w:sz w:val="20"/>
        </w:rPr>
      </w:pPr>
    </w:p>
    <w:p w14:paraId="3927AF40" w14:textId="77777777" w:rsidR="00CD484C" w:rsidRDefault="00CD484C">
      <w:pPr>
        <w:ind w:firstLine="397"/>
        <w:jc w:val="both"/>
        <w:rPr>
          <w:sz w:val="20"/>
        </w:rPr>
      </w:pPr>
    </w:p>
    <w:p w14:paraId="427AEE5C" w14:textId="77777777" w:rsidR="00CD484C" w:rsidRDefault="00CD484C">
      <w:pPr>
        <w:ind w:firstLine="397"/>
        <w:jc w:val="both"/>
        <w:rPr>
          <w:sz w:val="20"/>
        </w:rPr>
      </w:pPr>
    </w:p>
    <w:p w14:paraId="01171D89" w14:textId="77777777" w:rsidR="00CD484C" w:rsidRDefault="00CD484C">
      <w:pPr>
        <w:ind w:firstLine="397"/>
        <w:jc w:val="both"/>
        <w:rPr>
          <w:sz w:val="20"/>
          <w:szCs w:val="16"/>
        </w:rPr>
      </w:pPr>
    </w:p>
    <w:p w14:paraId="6ED4C9A3" w14:textId="77777777" w:rsidR="00CD484C" w:rsidRDefault="00CD484C">
      <w:pPr>
        <w:ind w:firstLine="397"/>
        <w:jc w:val="both"/>
        <w:rPr>
          <w:sz w:val="20"/>
          <w:szCs w:val="16"/>
        </w:rPr>
      </w:pPr>
    </w:p>
    <w:p w14:paraId="74486D3F" w14:textId="77777777" w:rsidR="00CD484C" w:rsidRDefault="00CD484C">
      <w:pPr>
        <w:ind w:firstLine="397"/>
        <w:jc w:val="both"/>
        <w:rPr>
          <w:sz w:val="20"/>
          <w:szCs w:val="16"/>
        </w:rPr>
      </w:pPr>
    </w:p>
    <w:p w14:paraId="1993F902" w14:textId="77777777" w:rsidR="00CD484C" w:rsidRDefault="00CD484C">
      <w:pPr>
        <w:ind w:firstLine="397"/>
        <w:jc w:val="both"/>
        <w:rPr>
          <w:sz w:val="20"/>
          <w:szCs w:val="16"/>
        </w:rPr>
      </w:pPr>
    </w:p>
    <w:p w14:paraId="5CC48396" w14:textId="77777777" w:rsidR="00CD484C" w:rsidRDefault="00CD484C">
      <w:pPr>
        <w:ind w:firstLine="397"/>
        <w:jc w:val="both"/>
        <w:rPr>
          <w:sz w:val="20"/>
          <w:szCs w:val="16"/>
        </w:rPr>
      </w:pPr>
    </w:p>
    <w:p w14:paraId="79F904BB" w14:textId="77777777" w:rsidR="00CD484C" w:rsidRDefault="00CD484C">
      <w:pPr>
        <w:ind w:firstLine="397"/>
        <w:jc w:val="both"/>
        <w:rPr>
          <w:sz w:val="20"/>
          <w:szCs w:val="16"/>
        </w:rPr>
      </w:pPr>
    </w:p>
    <w:p w14:paraId="613761B5" w14:textId="77777777" w:rsidR="00CD484C" w:rsidRDefault="00CD484C">
      <w:pPr>
        <w:ind w:firstLine="397"/>
        <w:jc w:val="both"/>
        <w:rPr>
          <w:sz w:val="20"/>
          <w:szCs w:val="16"/>
        </w:rPr>
      </w:pPr>
    </w:p>
    <w:p w14:paraId="24AC4CA0" w14:textId="77777777" w:rsidR="00CD484C" w:rsidRDefault="00CD484C">
      <w:pPr>
        <w:ind w:firstLine="397"/>
        <w:jc w:val="both"/>
        <w:rPr>
          <w:sz w:val="20"/>
          <w:szCs w:val="16"/>
        </w:rPr>
      </w:pPr>
    </w:p>
    <w:p w14:paraId="010450DF" w14:textId="77777777" w:rsidR="00CD484C" w:rsidRDefault="00CD484C">
      <w:pPr>
        <w:ind w:firstLine="397"/>
        <w:jc w:val="both"/>
        <w:rPr>
          <w:sz w:val="20"/>
          <w:szCs w:val="16"/>
        </w:rPr>
      </w:pPr>
    </w:p>
    <w:p w14:paraId="1D9F3E13" w14:textId="77777777" w:rsidR="00CD484C" w:rsidRDefault="00CD484C">
      <w:pPr>
        <w:ind w:firstLine="397"/>
        <w:jc w:val="both"/>
        <w:rPr>
          <w:sz w:val="20"/>
          <w:szCs w:val="16"/>
        </w:rPr>
      </w:pPr>
    </w:p>
    <w:p w14:paraId="011D2830" w14:textId="77777777" w:rsidR="00CD484C" w:rsidRDefault="00CD484C">
      <w:pPr>
        <w:ind w:firstLine="397"/>
        <w:jc w:val="both"/>
        <w:rPr>
          <w:sz w:val="20"/>
          <w:szCs w:val="16"/>
        </w:rPr>
      </w:pPr>
    </w:p>
    <w:p w14:paraId="569B6AC7" w14:textId="77777777" w:rsidR="00CD484C" w:rsidRDefault="00CD484C">
      <w:pPr>
        <w:ind w:firstLine="397"/>
        <w:jc w:val="both"/>
        <w:rPr>
          <w:sz w:val="20"/>
          <w:szCs w:val="16"/>
        </w:rPr>
      </w:pPr>
    </w:p>
    <w:p w14:paraId="235C325E" w14:textId="77777777" w:rsidR="00CD484C" w:rsidRDefault="00CD484C">
      <w:pPr>
        <w:ind w:firstLine="397"/>
        <w:jc w:val="both"/>
        <w:rPr>
          <w:sz w:val="20"/>
          <w:szCs w:val="16"/>
        </w:rPr>
      </w:pPr>
    </w:p>
    <w:p w14:paraId="23051438" w14:textId="77777777" w:rsidR="00CD484C" w:rsidRDefault="00CD484C">
      <w:pPr>
        <w:ind w:firstLine="397"/>
        <w:jc w:val="both"/>
        <w:rPr>
          <w:sz w:val="20"/>
          <w:szCs w:val="16"/>
        </w:rPr>
      </w:pPr>
    </w:p>
    <w:p w14:paraId="14E57A8B" w14:textId="77777777" w:rsidR="00CD484C" w:rsidRDefault="00CD484C">
      <w:pPr>
        <w:ind w:firstLine="397"/>
        <w:jc w:val="both"/>
        <w:rPr>
          <w:sz w:val="20"/>
          <w:szCs w:val="16"/>
        </w:rPr>
      </w:pPr>
    </w:p>
    <w:p w14:paraId="429AE3F0" w14:textId="77777777" w:rsidR="00CD484C" w:rsidRDefault="00CD484C">
      <w:pPr>
        <w:ind w:firstLine="397"/>
        <w:jc w:val="both"/>
        <w:rPr>
          <w:sz w:val="20"/>
          <w:szCs w:val="16"/>
        </w:rPr>
      </w:pPr>
    </w:p>
    <w:p w14:paraId="4B2745EE" w14:textId="77777777" w:rsidR="00CD484C" w:rsidRDefault="00CD484C">
      <w:pPr>
        <w:ind w:firstLine="397"/>
        <w:jc w:val="both"/>
        <w:rPr>
          <w:sz w:val="20"/>
          <w:szCs w:val="16"/>
        </w:rPr>
      </w:pPr>
    </w:p>
    <w:p w14:paraId="3CB289D6" w14:textId="77777777" w:rsidR="00CD484C" w:rsidRDefault="00CD484C">
      <w:pPr>
        <w:ind w:firstLine="397"/>
        <w:jc w:val="both"/>
        <w:rPr>
          <w:sz w:val="20"/>
          <w:szCs w:val="16"/>
        </w:rPr>
      </w:pPr>
    </w:p>
    <w:p w14:paraId="285EB06F" w14:textId="77777777" w:rsidR="00CD484C" w:rsidRDefault="00CD484C">
      <w:pPr>
        <w:ind w:firstLine="397"/>
        <w:jc w:val="both"/>
        <w:rPr>
          <w:sz w:val="20"/>
          <w:szCs w:val="16"/>
        </w:rPr>
      </w:pPr>
    </w:p>
    <w:p w14:paraId="53A3560F" w14:textId="77777777" w:rsidR="00CD484C" w:rsidRDefault="00CD484C">
      <w:pPr>
        <w:ind w:firstLine="397"/>
        <w:jc w:val="both"/>
        <w:rPr>
          <w:sz w:val="20"/>
          <w:szCs w:val="16"/>
        </w:rPr>
      </w:pPr>
    </w:p>
    <w:p w14:paraId="3C295F15" w14:textId="77777777" w:rsidR="00CD484C" w:rsidRDefault="00CD484C">
      <w:pPr>
        <w:ind w:firstLine="397"/>
        <w:jc w:val="both"/>
        <w:rPr>
          <w:sz w:val="20"/>
          <w:szCs w:val="16"/>
        </w:rPr>
      </w:pPr>
    </w:p>
    <w:p w14:paraId="1A31761B" w14:textId="77777777" w:rsidR="00CD484C" w:rsidRDefault="00CD484C">
      <w:pPr>
        <w:ind w:firstLine="397"/>
        <w:jc w:val="both"/>
        <w:rPr>
          <w:sz w:val="20"/>
          <w:szCs w:val="16"/>
        </w:rPr>
      </w:pPr>
    </w:p>
    <w:p w14:paraId="768CBC9A" w14:textId="77777777" w:rsidR="00CD484C" w:rsidRDefault="00CD484C">
      <w:pPr>
        <w:ind w:firstLine="397"/>
        <w:jc w:val="both"/>
        <w:rPr>
          <w:sz w:val="20"/>
          <w:szCs w:val="16"/>
        </w:rPr>
      </w:pPr>
    </w:p>
    <w:p w14:paraId="102C5523" w14:textId="77777777" w:rsidR="00CD484C" w:rsidRDefault="00CD484C">
      <w:pPr>
        <w:ind w:firstLine="397"/>
        <w:jc w:val="both"/>
        <w:rPr>
          <w:sz w:val="20"/>
          <w:szCs w:val="16"/>
        </w:rPr>
      </w:pPr>
    </w:p>
    <w:p w14:paraId="0FCAD67E" w14:textId="77777777" w:rsidR="00CD484C" w:rsidRDefault="00CD484C">
      <w:pPr>
        <w:ind w:firstLine="397"/>
        <w:jc w:val="both"/>
        <w:rPr>
          <w:sz w:val="20"/>
          <w:szCs w:val="16"/>
        </w:rPr>
      </w:pPr>
    </w:p>
    <w:p w14:paraId="73934AC8" w14:textId="77777777" w:rsidR="00CD484C" w:rsidRDefault="00CD484C">
      <w:pPr>
        <w:ind w:firstLine="397"/>
        <w:jc w:val="both"/>
        <w:rPr>
          <w:sz w:val="20"/>
          <w:szCs w:val="16"/>
        </w:rPr>
      </w:pPr>
    </w:p>
    <w:p w14:paraId="74A8BE88" w14:textId="77777777" w:rsidR="00CD484C" w:rsidRDefault="00CD484C">
      <w:pPr>
        <w:pStyle w:val="a3"/>
      </w:pPr>
      <w:r>
        <w:lastRenderedPageBreak/>
        <w:t>Литература:</w:t>
      </w:r>
    </w:p>
    <w:p w14:paraId="08A26C8F" w14:textId="77777777" w:rsidR="00CD484C" w:rsidRDefault="00CD484C">
      <w:pPr>
        <w:ind w:firstLine="397"/>
        <w:jc w:val="both"/>
        <w:rPr>
          <w:sz w:val="20"/>
          <w:szCs w:val="16"/>
        </w:rPr>
      </w:pPr>
      <w:r>
        <w:rPr>
          <w:i/>
          <w:iCs/>
          <w:sz w:val="20"/>
          <w:szCs w:val="16"/>
        </w:rPr>
        <w:t>Акбулатов И.М.</w:t>
      </w:r>
      <w:r>
        <w:rPr>
          <w:sz w:val="20"/>
          <w:szCs w:val="16"/>
        </w:rPr>
        <w:t xml:space="preserve"> Обращение куфических монет на Южном Урале  // Вопросы древней и средневековой истории Южного Урала. Уфа: Китап, 1987. – С. 131–139.</w:t>
      </w:r>
    </w:p>
    <w:p w14:paraId="5A2B54E2" w14:textId="77777777" w:rsidR="00CD484C" w:rsidRDefault="00CD484C">
      <w:pPr>
        <w:ind w:firstLine="397"/>
        <w:jc w:val="both"/>
        <w:rPr>
          <w:sz w:val="20"/>
          <w:szCs w:val="16"/>
        </w:rPr>
      </w:pPr>
      <w:r>
        <w:rPr>
          <w:i/>
          <w:iCs/>
          <w:sz w:val="20"/>
          <w:szCs w:val="16"/>
        </w:rPr>
        <w:t>Алиев З.М.</w:t>
      </w:r>
      <w:r>
        <w:rPr>
          <w:sz w:val="20"/>
          <w:szCs w:val="16"/>
        </w:rPr>
        <w:t xml:space="preserve"> Денежное обращение Азербайджана (VII–IX  вв.). Автореф. дис. ... канд.ист.наук. Кемерово: КемГУ. 1990. – 24 с.</w:t>
      </w:r>
    </w:p>
    <w:p w14:paraId="4B643F03" w14:textId="77777777" w:rsidR="00CD484C" w:rsidRDefault="00CD484C">
      <w:pPr>
        <w:ind w:firstLine="397"/>
        <w:jc w:val="both"/>
        <w:rPr>
          <w:sz w:val="20"/>
          <w:szCs w:val="16"/>
        </w:rPr>
      </w:pPr>
      <w:r>
        <w:rPr>
          <w:i/>
          <w:iCs/>
          <w:sz w:val="20"/>
          <w:szCs w:val="16"/>
        </w:rPr>
        <w:t>Артамонов М.И.</w:t>
      </w:r>
      <w:r>
        <w:rPr>
          <w:sz w:val="20"/>
          <w:szCs w:val="16"/>
        </w:rPr>
        <w:t xml:space="preserve"> Саркел – Белая Вежа // МИА. Т. 62. 1958. – С. 7–84.</w:t>
      </w:r>
    </w:p>
    <w:p w14:paraId="5FD238EB" w14:textId="77777777" w:rsidR="00CD484C" w:rsidRDefault="00CD484C">
      <w:pPr>
        <w:ind w:firstLine="397"/>
        <w:jc w:val="both"/>
        <w:rPr>
          <w:sz w:val="20"/>
          <w:szCs w:val="16"/>
        </w:rPr>
      </w:pPr>
      <w:r>
        <w:rPr>
          <w:i/>
          <w:iCs/>
          <w:sz w:val="20"/>
          <w:szCs w:val="16"/>
        </w:rPr>
        <w:t>Артамонов М.И.</w:t>
      </w:r>
      <w:r>
        <w:rPr>
          <w:sz w:val="20"/>
          <w:szCs w:val="16"/>
        </w:rPr>
        <w:t xml:space="preserve"> История хазар. Изд.2-е. СПб: Изд-во филолог. факультета СПб-го ун-та, 2002. – 360 с.</w:t>
      </w:r>
    </w:p>
    <w:p w14:paraId="1EDE7F9E" w14:textId="77777777" w:rsidR="00CD484C" w:rsidRDefault="00CD484C">
      <w:pPr>
        <w:ind w:firstLine="397"/>
        <w:jc w:val="both"/>
        <w:rPr>
          <w:sz w:val="20"/>
          <w:szCs w:val="16"/>
        </w:rPr>
      </w:pPr>
      <w:r>
        <w:rPr>
          <w:i/>
          <w:iCs/>
          <w:sz w:val="20"/>
          <w:szCs w:val="16"/>
        </w:rPr>
        <w:t xml:space="preserve">Археологическая карта России </w:t>
      </w:r>
      <w:r>
        <w:rPr>
          <w:sz w:val="20"/>
          <w:szCs w:val="16"/>
        </w:rPr>
        <w:t>/ Под ред. Ю.А. Краснова. Владимирская область. М.: Наука,  1995. – 384 с.</w:t>
      </w:r>
    </w:p>
    <w:p w14:paraId="58D2879F" w14:textId="77777777" w:rsidR="00CD484C" w:rsidRDefault="00CD484C">
      <w:pPr>
        <w:ind w:firstLine="397"/>
        <w:jc w:val="both"/>
        <w:rPr>
          <w:sz w:val="20"/>
          <w:szCs w:val="16"/>
        </w:rPr>
      </w:pPr>
      <w:r>
        <w:rPr>
          <w:i/>
          <w:iCs/>
          <w:sz w:val="20"/>
          <w:szCs w:val="16"/>
        </w:rPr>
        <w:t>Атагаррыев Е.</w:t>
      </w:r>
      <w:r>
        <w:rPr>
          <w:sz w:val="20"/>
          <w:szCs w:val="16"/>
        </w:rPr>
        <w:t xml:space="preserve"> Средневековый Дехистан: История и культура города Юго-Запада Туркменимстана. Л.: Наука, 1986. – 175 с.</w:t>
      </w:r>
    </w:p>
    <w:p w14:paraId="1FA9B395" w14:textId="77777777" w:rsidR="00CD484C" w:rsidRDefault="00CD484C">
      <w:pPr>
        <w:ind w:firstLine="397"/>
        <w:jc w:val="both"/>
        <w:rPr>
          <w:sz w:val="20"/>
          <w:szCs w:val="16"/>
        </w:rPr>
      </w:pPr>
      <w:r>
        <w:rPr>
          <w:i/>
          <w:iCs/>
          <w:sz w:val="20"/>
          <w:szCs w:val="16"/>
        </w:rPr>
        <w:t>Атаходжаев А.</w:t>
      </w:r>
      <w:r>
        <w:rPr>
          <w:sz w:val="20"/>
          <w:szCs w:val="16"/>
        </w:rPr>
        <w:t xml:space="preserve"> Два клада куфических дирхемов из Узбекистана // ВНК. Тез.докл и сообщений. Вологда, 1993. – С. 11–13.</w:t>
      </w:r>
    </w:p>
    <w:p w14:paraId="4C5B2648" w14:textId="77777777" w:rsidR="00CD484C" w:rsidRDefault="00CD484C">
      <w:pPr>
        <w:ind w:firstLine="397"/>
        <w:jc w:val="both"/>
        <w:rPr>
          <w:sz w:val="20"/>
          <w:szCs w:val="16"/>
        </w:rPr>
      </w:pPr>
      <w:r>
        <w:rPr>
          <w:i/>
          <w:iCs/>
          <w:sz w:val="20"/>
          <w:szCs w:val="16"/>
        </w:rPr>
        <w:t>Атаходжаев А.Х.</w:t>
      </w:r>
      <w:r>
        <w:rPr>
          <w:sz w:val="20"/>
          <w:szCs w:val="16"/>
        </w:rPr>
        <w:t xml:space="preserve"> Нумизматическая биография одного саманидского сановника // 7-я  ВНК. М., 1999. – С. 52–53.</w:t>
      </w:r>
    </w:p>
    <w:p w14:paraId="5FD8791D" w14:textId="77777777" w:rsidR="00CD484C" w:rsidRDefault="00CD484C">
      <w:pPr>
        <w:ind w:firstLine="397"/>
        <w:jc w:val="both"/>
        <w:rPr>
          <w:sz w:val="20"/>
          <w:szCs w:val="16"/>
        </w:rPr>
      </w:pPr>
      <w:r>
        <w:rPr>
          <w:i/>
          <w:iCs/>
          <w:sz w:val="20"/>
          <w:szCs w:val="16"/>
        </w:rPr>
        <w:t>Ахунбабаев Х.Г.</w:t>
      </w:r>
      <w:r>
        <w:rPr>
          <w:sz w:val="20"/>
          <w:szCs w:val="16"/>
        </w:rPr>
        <w:t xml:space="preserve"> Об одной группе согдийских монет // СА. 1986. – № 4. – С. 254–261.</w:t>
      </w:r>
    </w:p>
    <w:p w14:paraId="0EAB2907" w14:textId="77777777" w:rsidR="00CD484C" w:rsidRDefault="00CD484C">
      <w:pPr>
        <w:ind w:firstLine="397"/>
        <w:jc w:val="both"/>
        <w:rPr>
          <w:sz w:val="20"/>
          <w:szCs w:val="16"/>
        </w:rPr>
      </w:pPr>
      <w:r>
        <w:rPr>
          <w:i/>
          <w:iCs/>
          <w:sz w:val="20"/>
          <w:szCs w:val="16"/>
        </w:rPr>
        <w:t xml:space="preserve">Бартольд В.В. </w:t>
      </w:r>
      <w:r>
        <w:rPr>
          <w:sz w:val="20"/>
          <w:szCs w:val="16"/>
        </w:rPr>
        <w:t>Арабские известия о русах // Сочинения. Т.2. Ч.1. М. 1963. – С. 810–860.</w:t>
      </w:r>
    </w:p>
    <w:p w14:paraId="57519CB3" w14:textId="77777777" w:rsidR="00CD484C" w:rsidRDefault="00CD484C">
      <w:pPr>
        <w:ind w:firstLine="397"/>
        <w:jc w:val="both"/>
        <w:rPr>
          <w:sz w:val="20"/>
          <w:szCs w:val="16"/>
        </w:rPr>
      </w:pPr>
      <w:r>
        <w:rPr>
          <w:i/>
          <w:iCs/>
          <w:sz w:val="20"/>
          <w:szCs w:val="16"/>
        </w:rPr>
        <w:t>Бартольд В.В.</w:t>
      </w:r>
      <w:r>
        <w:rPr>
          <w:sz w:val="20"/>
          <w:szCs w:val="16"/>
        </w:rPr>
        <w:t xml:space="preserve"> Туркестан в эпоху монгольского нашествия // Соч. Т.1. М.: Восточная литература, 1963а. – С. 45–600.</w:t>
      </w:r>
    </w:p>
    <w:p w14:paraId="70F570D7" w14:textId="77777777" w:rsidR="00CD484C" w:rsidRDefault="00CD484C">
      <w:pPr>
        <w:ind w:firstLine="397"/>
        <w:jc w:val="both"/>
        <w:rPr>
          <w:sz w:val="20"/>
          <w:szCs w:val="16"/>
        </w:rPr>
      </w:pPr>
      <w:r>
        <w:rPr>
          <w:i/>
          <w:iCs/>
          <w:sz w:val="20"/>
          <w:szCs w:val="16"/>
        </w:rPr>
        <w:t>Бартольд В.В.</w:t>
      </w:r>
      <w:r>
        <w:rPr>
          <w:sz w:val="20"/>
          <w:szCs w:val="16"/>
        </w:rPr>
        <w:t xml:space="preserve"> Краткий обзор истории Азербайджана // Сочинения. Т.2. Ч.1. М.: ВЛ., 1963б. – С. 775–783.</w:t>
      </w:r>
    </w:p>
    <w:p w14:paraId="12F6E4F0" w14:textId="77777777" w:rsidR="00CD484C" w:rsidRDefault="00CD484C">
      <w:pPr>
        <w:ind w:firstLine="397"/>
        <w:jc w:val="both"/>
        <w:rPr>
          <w:sz w:val="20"/>
          <w:szCs w:val="16"/>
        </w:rPr>
      </w:pPr>
      <w:r>
        <w:rPr>
          <w:i/>
          <w:iCs/>
          <w:sz w:val="20"/>
          <w:szCs w:val="16"/>
        </w:rPr>
        <w:t>Бартольд В.В.</w:t>
      </w:r>
      <w:r>
        <w:rPr>
          <w:sz w:val="20"/>
          <w:szCs w:val="16"/>
        </w:rPr>
        <w:t xml:space="preserve"> Работы по исторической географии. М.: “ВЛ”, 2002. – 711 с.</w:t>
      </w:r>
    </w:p>
    <w:p w14:paraId="24B99658" w14:textId="77777777" w:rsidR="00CD484C" w:rsidRDefault="00CD484C">
      <w:pPr>
        <w:ind w:firstLine="397"/>
        <w:jc w:val="both"/>
        <w:rPr>
          <w:sz w:val="20"/>
          <w:szCs w:val="16"/>
        </w:rPr>
      </w:pPr>
      <w:r>
        <w:rPr>
          <w:i/>
          <w:iCs/>
          <w:sz w:val="20"/>
          <w:szCs w:val="16"/>
        </w:rPr>
        <w:t>[Бауэр Н.П.], Романов Б.А.</w:t>
      </w:r>
      <w:r>
        <w:rPr>
          <w:sz w:val="20"/>
          <w:szCs w:val="16"/>
        </w:rPr>
        <w:t xml:space="preserve"> Деньги и денежное обращение // История культуры древней Руси: Домонгольский период. Т.1. Материальная культура. М.-Л., 1948. – С. 175–203.</w:t>
      </w:r>
    </w:p>
    <w:p w14:paraId="7EC9688F" w14:textId="77777777" w:rsidR="00CD484C" w:rsidRDefault="00CD484C">
      <w:pPr>
        <w:ind w:firstLine="397"/>
        <w:jc w:val="both"/>
        <w:rPr>
          <w:sz w:val="20"/>
          <w:szCs w:val="16"/>
        </w:rPr>
      </w:pPr>
      <w:r>
        <w:rPr>
          <w:i/>
          <w:iCs/>
          <w:sz w:val="20"/>
          <w:szCs w:val="16"/>
        </w:rPr>
        <w:t xml:space="preserve">Беговатов Е.А. </w:t>
      </w:r>
      <w:r>
        <w:rPr>
          <w:sz w:val="20"/>
          <w:szCs w:val="16"/>
        </w:rPr>
        <w:t>Билярский клад куфических монет конца X – начала XI  в. // Одиннадцатая ВНК. СПб: ГЭ, 2003. – С. 71–72.</w:t>
      </w:r>
    </w:p>
    <w:p w14:paraId="0FBD37CE" w14:textId="77777777" w:rsidR="00CD484C" w:rsidRDefault="00CD484C">
      <w:pPr>
        <w:ind w:firstLine="397"/>
        <w:jc w:val="both"/>
        <w:rPr>
          <w:sz w:val="20"/>
          <w:szCs w:val="16"/>
        </w:rPr>
      </w:pPr>
      <w:r>
        <w:rPr>
          <w:i/>
          <w:iCs/>
          <w:sz w:val="20"/>
          <w:szCs w:val="16"/>
        </w:rPr>
        <w:t>Белецкий С.В.</w:t>
      </w:r>
      <w:r>
        <w:rPr>
          <w:sz w:val="20"/>
          <w:szCs w:val="16"/>
        </w:rPr>
        <w:t xml:space="preserve"> Начало русской геральдики (эпоха Рюриковичей Х-ХI вв.) // У источника. Вып. 1. Сб. статей в честь чл.-корр. РАН С.М. Каштанова в 2-х частях. Ч.1. М., 1997. – С. 93–171.</w:t>
      </w:r>
    </w:p>
    <w:p w14:paraId="69128511" w14:textId="77777777" w:rsidR="00CD484C" w:rsidRDefault="00CD484C">
      <w:pPr>
        <w:ind w:firstLine="397"/>
        <w:jc w:val="both"/>
        <w:rPr>
          <w:sz w:val="20"/>
          <w:szCs w:val="16"/>
        </w:rPr>
      </w:pPr>
      <w:r>
        <w:rPr>
          <w:i/>
          <w:iCs/>
          <w:sz w:val="20"/>
          <w:szCs w:val="16"/>
        </w:rPr>
        <w:t>Большаков О.Г.</w:t>
      </w:r>
      <w:r>
        <w:rPr>
          <w:sz w:val="20"/>
          <w:szCs w:val="16"/>
        </w:rPr>
        <w:t xml:space="preserve"> Средневековый город Ближнего Востока. VII – середина ХШ в. Социально-экономические отношения. М.: Наука. ГРВЛ, 1984. – 344 с. [Переизд. 2002].</w:t>
      </w:r>
    </w:p>
    <w:p w14:paraId="0687D5F7" w14:textId="77777777" w:rsidR="00CD484C" w:rsidRDefault="00CD484C">
      <w:pPr>
        <w:ind w:firstLine="397"/>
        <w:jc w:val="both"/>
        <w:rPr>
          <w:sz w:val="20"/>
          <w:szCs w:val="16"/>
        </w:rPr>
      </w:pPr>
      <w:r>
        <w:rPr>
          <w:i/>
          <w:iCs/>
          <w:sz w:val="20"/>
          <w:szCs w:val="16"/>
        </w:rPr>
        <w:t>Большаков О.Г.</w:t>
      </w:r>
      <w:r>
        <w:rPr>
          <w:sz w:val="20"/>
          <w:szCs w:val="16"/>
        </w:rPr>
        <w:t xml:space="preserve"> История Халифата. 2. Эпоха великих завоеваний  (633–658). М.: Наука “ВЛ”, 1993. – 293 с.</w:t>
      </w:r>
    </w:p>
    <w:p w14:paraId="242810B7" w14:textId="77777777" w:rsidR="00CD484C" w:rsidRDefault="00CD484C">
      <w:pPr>
        <w:ind w:firstLine="397"/>
        <w:jc w:val="both"/>
        <w:rPr>
          <w:sz w:val="20"/>
          <w:szCs w:val="16"/>
        </w:rPr>
      </w:pPr>
      <w:r>
        <w:rPr>
          <w:i/>
          <w:iCs/>
          <w:sz w:val="20"/>
          <w:szCs w:val="16"/>
        </w:rPr>
        <w:t>Большаков О.Г.</w:t>
      </w:r>
      <w:r>
        <w:rPr>
          <w:sz w:val="20"/>
          <w:szCs w:val="16"/>
        </w:rPr>
        <w:t xml:space="preserve"> Уточнения к переводу «Записок Ибн Фадлана» // ДГ 1998 г. М.: ИФ «ВЛ», 2000. – С.54-63.</w:t>
      </w:r>
    </w:p>
    <w:p w14:paraId="301607DC" w14:textId="45432967" w:rsidR="00CD484C" w:rsidRDefault="00395416">
      <w:pPr>
        <w:ind w:firstLine="397"/>
        <w:jc w:val="both"/>
        <w:rPr>
          <w:sz w:val="20"/>
          <w:szCs w:val="16"/>
        </w:rPr>
      </w:pPr>
      <w:r>
        <w:rPr>
          <w:i/>
          <w:iCs/>
          <w:noProof/>
          <w:sz w:val="20"/>
          <w:szCs w:val="16"/>
        </w:rPr>
        <w:lastRenderedPageBreak/>
        <mc:AlternateContent>
          <mc:Choice Requires="wps">
            <w:drawing>
              <wp:anchor distT="0" distB="0" distL="114300" distR="114300" simplePos="0" relativeHeight="251687424" behindDoc="0" locked="1" layoutInCell="1" allowOverlap="1" wp14:anchorId="6F1083FD" wp14:editId="394C7577">
                <wp:simplePos x="0" y="0"/>
                <wp:positionH relativeFrom="column">
                  <wp:align>center</wp:align>
                </wp:positionH>
                <wp:positionV relativeFrom="paragraph">
                  <wp:posOffset>-252730</wp:posOffset>
                </wp:positionV>
                <wp:extent cx="4095750" cy="186690"/>
                <wp:effectExtent l="1905" t="0" r="0" b="0"/>
                <wp:wrapNone/>
                <wp:docPr id="1597552084"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6F045"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03AC4BA1"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083FD" id="Text Box 249" o:spid="_x0000_s1092" type="#_x0000_t202" style="position:absolute;left:0;text-align:left;margin-left:0;margin-top:-19.9pt;width:322.5pt;height:14.7pt;z-index:2516874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WK9TL7wEAAMIDAAAOAAAAAAAAAAAAAAAAAC4CAABkcnMvZTJv&#10;RG9jLnhtbFBLAQItABQABgAIAAAAIQCnTgMH3gAAAAgBAAAPAAAAAAAAAAAAAAAAAEkEAABkcnMv&#10;ZG93bnJldi54bWxQSwUGAAAAAAQABADzAAAAVAUAAAAA&#10;" stroked="f">
                <v:textbox inset="0,0,0,0">
                  <w:txbxContent>
                    <w:p w14:paraId="1136F045"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03AC4BA1" w14:textId="77777777" w:rsidR="00AE2133" w:rsidRDefault="00AE2133">
                      <w:pPr>
                        <w:rPr>
                          <w:b/>
                          <w:bCs/>
                          <w:sz w:val="2"/>
                          <w:u w:val="single"/>
                        </w:rPr>
                      </w:pPr>
                    </w:p>
                  </w:txbxContent>
                </v:textbox>
                <w10:anchorlock/>
              </v:shape>
            </w:pict>
          </mc:Fallback>
        </mc:AlternateContent>
      </w:r>
      <w:r w:rsidR="00CD484C">
        <w:rPr>
          <w:i/>
          <w:iCs/>
          <w:sz w:val="20"/>
          <w:szCs w:val="16"/>
        </w:rPr>
        <w:t xml:space="preserve">Босворт К.Э. </w:t>
      </w:r>
      <w:r w:rsidR="00CD484C">
        <w:rPr>
          <w:sz w:val="20"/>
          <w:szCs w:val="16"/>
        </w:rPr>
        <w:t>Мусульманские династии: Справочник по хронологии и генеалогии. М.: Наука / Пер. П.А. Грязневича, 1971. – 324 с.</w:t>
      </w:r>
    </w:p>
    <w:p w14:paraId="5838526B" w14:textId="77777777" w:rsidR="00CD484C" w:rsidRDefault="00CD484C">
      <w:pPr>
        <w:ind w:firstLine="397"/>
        <w:jc w:val="both"/>
        <w:rPr>
          <w:sz w:val="20"/>
          <w:szCs w:val="16"/>
        </w:rPr>
      </w:pPr>
      <w:r>
        <w:rPr>
          <w:i/>
          <w:iCs/>
          <w:sz w:val="20"/>
          <w:szCs w:val="16"/>
        </w:rPr>
        <w:t xml:space="preserve">Буряков Ю.Ф. </w:t>
      </w:r>
      <w:r>
        <w:rPr>
          <w:sz w:val="20"/>
          <w:szCs w:val="16"/>
        </w:rPr>
        <w:t>Горное дело и металлургия средневекового Илака V – начала XIII в. М.: Наука, 1974. – 141 с.</w:t>
      </w:r>
    </w:p>
    <w:p w14:paraId="03BEC85D" w14:textId="77777777" w:rsidR="00CD484C" w:rsidRDefault="00CD484C">
      <w:pPr>
        <w:ind w:firstLine="397"/>
        <w:jc w:val="both"/>
        <w:rPr>
          <w:sz w:val="20"/>
          <w:szCs w:val="16"/>
        </w:rPr>
      </w:pPr>
      <w:r>
        <w:rPr>
          <w:i/>
          <w:iCs/>
          <w:sz w:val="20"/>
          <w:szCs w:val="16"/>
        </w:rPr>
        <w:t>Быков А.А.</w:t>
      </w:r>
      <w:r>
        <w:rPr>
          <w:sz w:val="20"/>
          <w:szCs w:val="16"/>
        </w:rPr>
        <w:t xml:space="preserve"> Восточные монеты Дегтянского клада // ТГЭ. 1961. Т. 4. – С. 30–35.</w:t>
      </w:r>
    </w:p>
    <w:p w14:paraId="49194411" w14:textId="77777777" w:rsidR="00CD484C" w:rsidRDefault="00CD484C">
      <w:pPr>
        <w:ind w:firstLine="397"/>
        <w:jc w:val="both"/>
        <w:rPr>
          <w:sz w:val="20"/>
          <w:szCs w:val="16"/>
        </w:rPr>
      </w:pPr>
      <w:r>
        <w:rPr>
          <w:i/>
          <w:iCs/>
          <w:sz w:val="20"/>
          <w:szCs w:val="16"/>
        </w:rPr>
        <w:t>Быков А.А.</w:t>
      </w:r>
      <w:r>
        <w:rPr>
          <w:sz w:val="20"/>
          <w:szCs w:val="16"/>
        </w:rPr>
        <w:t xml:space="preserve"> Находки индийских монет в Восточной Европе // ЭВ. 1969. – Т. 29. – С. 74–80.</w:t>
      </w:r>
    </w:p>
    <w:p w14:paraId="6955276D" w14:textId="77777777" w:rsidR="00CD484C" w:rsidRDefault="00CD484C">
      <w:pPr>
        <w:ind w:firstLine="397"/>
        <w:jc w:val="both"/>
        <w:rPr>
          <w:sz w:val="20"/>
          <w:szCs w:val="16"/>
        </w:rPr>
      </w:pPr>
      <w:r>
        <w:rPr>
          <w:i/>
          <w:iCs/>
          <w:sz w:val="20"/>
          <w:szCs w:val="16"/>
        </w:rPr>
        <w:t xml:space="preserve">Валеев Р.М. </w:t>
      </w:r>
      <w:r>
        <w:rPr>
          <w:sz w:val="20"/>
          <w:szCs w:val="16"/>
        </w:rPr>
        <w:t>Волжская Булгария: торговля и денежно-весовые системы IX–ХШ вв. Казань: Татарское кн. изд-во, 1995. – 158 с.</w:t>
      </w:r>
    </w:p>
    <w:p w14:paraId="02D665FB" w14:textId="77777777" w:rsidR="00CD484C" w:rsidRDefault="00CD484C">
      <w:pPr>
        <w:ind w:firstLine="397"/>
        <w:jc w:val="both"/>
        <w:rPr>
          <w:sz w:val="20"/>
          <w:szCs w:val="16"/>
        </w:rPr>
      </w:pPr>
      <w:r>
        <w:rPr>
          <w:i/>
          <w:iCs/>
          <w:sz w:val="20"/>
          <w:szCs w:val="16"/>
        </w:rPr>
        <w:t>Вестердаль К.</w:t>
      </w:r>
      <w:r>
        <w:rPr>
          <w:sz w:val="20"/>
          <w:szCs w:val="16"/>
        </w:rPr>
        <w:t xml:space="preserve"> Водно-сухопутные транспортные системы в Северной Европе: средневековая модель // СА. № 4. 1987. – С. 61–78.</w:t>
      </w:r>
    </w:p>
    <w:p w14:paraId="7612F871" w14:textId="77777777" w:rsidR="00CD484C" w:rsidRDefault="00CD484C">
      <w:pPr>
        <w:ind w:firstLine="397"/>
        <w:jc w:val="both"/>
        <w:rPr>
          <w:sz w:val="20"/>
          <w:szCs w:val="16"/>
        </w:rPr>
      </w:pPr>
      <w:r>
        <w:rPr>
          <w:i/>
          <w:iCs/>
          <w:sz w:val="20"/>
          <w:szCs w:val="16"/>
        </w:rPr>
        <w:t>Гайдуков П.Г.</w:t>
      </w:r>
      <w:r>
        <w:rPr>
          <w:sz w:val="20"/>
          <w:szCs w:val="16"/>
        </w:rPr>
        <w:t xml:space="preserve"> Николай Павлович Бауэр (к 60-летию со дня смерти) // НА, 2002. – № 3–4. – С. 65–72.</w:t>
      </w:r>
    </w:p>
    <w:p w14:paraId="50D1F1FA" w14:textId="77777777" w:rsidR="00CD484C" w:rsidRDefault="00CD484C">
      <w:pPr>
        <w:ind w:firstLine="397"/>
        <w:jc w:val="both"/>
        <w:rPr>
          <w:sz w:val="20"/>
          <w:szCs w:val="16"/>
        </w:rPr>
      </w:pPr>
      <w:r>
        <w:rPr>
          <w:i/>
          <w:iCs/>
          <w:sz w:val="20"/>
          <w:szCs w:val="16"/>
        </w:rPr>
        <w:t xml:space="preserve">Гайдуков П.Г., Фёдоров-Давыдов Г.А., Янин В.Л. </w:t>
      </w:r>
      <w:r>
        <w:rPr>
          <w:sz w:val="20"/>
          <w:szCs w:val="16"/>
        </w:rPr>
        <w:t>Новый клад куфических монет Х в. из Новгорода // Восьмая ВНК. М., 2000. – С. 55–56.</w:t>
      </w:r>
    </w:p>
    <w:p w14:paraId="213CD605" w14:textId="77777777" w:rsidR="00CD484C" w:rsidRDefault="00CD484C">
      <w:pPr>
        <w:ind w:firstLine="397"/>
        <w:jc w:val="both"/>
        <w:rPr>
          <w:sz w:val="20"/>
          <w:szCs w:val="16"/>
        </w:rPr>
      </w:pPr>
      <w:r>
        <w:rPr>
          <w:i/>
          <w:iCs/>
          <w:sz w:val="20"/>
          <w:szCs w:val="16"/>
        </w:rPr>
        <w:t>Генинг В.Ф.</w:t>
      </w:r>
      <w:r>
        <w:rPr>
          <w:sz w:val="20"/>
          <w:szCs w:val="16"/>
        </w:rPr>
        <w:t xml:space="preserve"> Мыдлань-шай удмуртский могильник VIII–IХ вв. // ВАУ. Вып. 3. Свердловск, 1962. – С. 17–128.</w:t>
      </w:r>
    </w:p>
    <w:p w14:paraId="35EB3B42" w14:textId="77777777" w:rsidR="00CD484C" w:rsidRDefault="00CD484C">
      <w:pPr>
        <w:ind w:firstLine="397"/>
        <w:jc w:val="both"/>
        <w:rPr>
          <w:sz w:val="20"/>
          <w:szCs w:val="16"/>
        </w:rPr>
      </w:pPr>
      <w:r>
        <w:rPr>
          <w:i/>
          <w:iCs/>
          <w:sz w:val="20"/>
          <w:szCs w:val="16"/>
        </w:rPr>
        <w:t>Глазырина Г.В.</w:t>
      </w:r>
      <w:r>
        <w:rPr>
          <w:sz w:val="20"/>
          <w:szCs w:val="16"/>
        </w:rPr>
        <w:t xml:space="preserve"> Формирование устной традиции: сюжет о походе русов на Берда’а в восточных памятниках и рассказ «Саги об Ингваре» о гибели скандинавов на Востоке // Восточная Европа в древности и средневековье. Историческая память и формы ее воплощения. М., 2000. – С. 155–165.</w:t>
      </w:r>
    </w:p>
    <w:p w14:paraId="1C4D2AB8" w14:textId="77777777" w:rsidR="00CD484C" w:rsidRDefault="00CD484C">
      <w:pPr>
        <w:ind w:firstLine="397"/>
        <w:jc w:val="both"/>
        <w:rPr>
          <w:sz w:val="20"/>
          <w:szCs w:val="16"/>
        </w:rPr>
      </w:pPr>
      <w:r>
        <w:rPr>
          <w:i/>
          <w:iCs/>
          <w:sz w:val="20"/>
          <w:szCs w:val="16"/>
        </w:rPr>
        <w:t xml:space="preserve">Голб Н., Прицак О. </w:t>
      </w:r>
      <w:r>
        <w:rPr>
          <w:sz w:val="20"/>
          <w:szCs w:val="16"/>
        </w:rPr>
        <w:t>Хазарско-еврейские документы Х века. Научн.редакция. послесловие и комментарий В.Я. Петрухина. М. – Иерусалим: Гешарим, 1997. – 360 с.</w:t>
      </w:r>
    </w:p>
    <w:p w14:paraId="576CA338" w14:textId="77777777" w:rsidR="00CD484C" w:rsidRDefault="00CD484C">
      <w:pPr>
        <w:ind w:firstLine="397"/>
        <w:jc w:val="both"/>
        <w:rPr>
          <w:sz w:val="20"/>
          <w:szCs w:val="16"/>
        </w:rPr>
      </w:pPr>
      <w:r>
        <w:rPr>
          <w:i/>
          <w:iCs/>
          <w:sz w:val="20"/>
          <w:szCs w:val="16"/>
        </w:rPr>
        <w:t>Голдина Р.Д.</w:t>
      </w:r>
      <w:r>
        <w:rPr>
          <w:sz w:val="20"/>
          <w:szCs w:val="16"/>
        </w:rPr>
        <w:t xml:space="preserve"> Основные итоги изучения древней истории коми-пермяцкого народа (по археологическим данным) // Исследования по археологии и истории Урала. Пермь: ПермГУ. 1998. – C. 95–119.</w:t>
      </w:r>
    </w:p>
    <w:p w14:paraId="7DBE7508" w14:textId="77777777" w:rsidR="00CD484C" w:rsidRDefault="00CD484C">
      <w:pPr>
        <w:ind w:firstLine="397"/>
        <w:jc w:val="both"/>
        <w:rPr>
          <w:sz w:val="20"/>
          <w:szCs w:val="16"/>
        </w:rPr>
      </w:pPr>
      <w:r>
        <w:rPr>
          <w:i/>
          <w:iCs/>
          <w:sz w:val="20"/>
          <w:szCs w:val="16"/>
        </w:rPr>
        <w:t>Голдина Р.Д., Голдина Е.В.</w:t>
      </w:r>
      <w:r>
        <w:rPr>
          <w:sz w:val="20"/>
          <w:szCs w:val="16"/>
        </w:rPr>
        <w:t xml:space="preserve"> Скандинавы и Верхнее Прикамье: контакты во второй половине I тыс. н.э // Шведы и Русский Север: историко-культурные связи (к 210-летию А.А. Витберга). ММНС. Киров: Б.и, 1997. – С. 5–17.</w:t>
      </w:r>
    </w:p>
    <w:p w14:paraId="0E9C9E02" w14:textId="77777777" w:rsidR="00CD484C" w:rsidRDefault="00CD484C">
      <w:pPr>
        <w:ind w:firstLine="397"/>
        <w:jc w:val="both"/>
        <w:rPr>
          <w:sz w:val="20"/>
          <w:szCs w:val="16"/>
        </w:rPr>
      </w:pPr>
      <w:r>
        <w:rPr>
          <w:i/>
          <w:iCs/>
          <w:sz w:val="20"/>
          <w:szCs w:val="16"/>
        </w:rPr>
        <w:t xml:space="preserve">Голдина Р.Д., Кананин В.А. </w:t>
      </w:r>
      <w:r>
        <w:rPr>
          <w:sz w:val="20"/>
          <w:szCs w:val="16"/>
        </w:rPr>
        <w:t>Средневековые памятники верховьев Камы. Свердловск: Изд-во Уральского ун-та, 1989. – 215 с.</w:t>
      </w:r>
    </w:p>
    <w:p w14:paraId="29666DFF" w14:textId="77777777" w:rsidR="00CD484C" w:rsidRDefault="00CD484C">
      <w:pPr>
        <w:ind w:firstLine="397"/>
        <w:jc w:val="both"/>
        <w:rPr>
          <w:sz w:val="20"/>
          <w:szCs w:val="16"/>
        </w:rPr>
      </w:pPr>
      <w:r>
        <w:rPr>
          <w:i/>
          <w:iCs/>
          <w:sz w:val="20"/>
          <w:szCs w:val="16"/>
        </w:rPr>
        <w:t xml:space="preserve">Горский А.А. </w:t>
      </w:r>
      <w:r>
        <w:rPr>
          <w:sz w:val="20"/>
          <w:szCs w:val="16"/>
        </w:rPr>
        <w:t>Рецензия на S. Franklin, J. Shepard. The Emergence of Rus. L.-N.Y. 1998 // Средневековая Русь. Ч.2. М. 1999. – С. 194–204.</w:t>
      </w:r>
    </w:p>
    <w:p w14:paraId="59969D1D" w14:textId="77777777" w:rsidR="00CD484C" w:rsidRDefault="00CD484C">
      <w:pPr>
        <w:ind w:firstLine="397"/>
        <w:jc w:val="both"/>
        <w:rPr>
          <w:sz w:val="20"/>
          <w:szCs w:val="16"/>
        </w:rPr>
      </w:pPr>
      <w:r>
        <w:rPr>
          <w:i/>
          <w:iCs/>
          <w:sz w:val="20"/>
          <w:szCs w:val="16"/>
        </w:rPr>
        <w:t xml:space="preserve">Горский А.А. </w:t>
      </w:r>
      <w:r>
        <w:rPr>
          <w:sz w:val="20"/>
          <w:szCs w:val="16"/>
        </w:rPr>
        <w:t xml:space="preserve">О древнерусских землях // ОИ. 2001. № 5. – С. 144–150. </w:t>
      </w:r>
    </w:p>
    <w:p w14:paraId="02163456" w14:textId="77777777" w:rsidR="00CD484C" w:rsidRDefault="00CD484C">
      <w:pPr>
        <w:ind w:firstLine="397"/>
        <w:jc w:val="both"/>
        <w:rPr>
          <w:sz w:val="20"/>
          <w:szCs w:val="16"/>
        </w:rPr>
      </w:pPr>
      <w:r>
        <w:rPr>
          <w:i/>
          <w:iCs/>
          <w:sz w:val="20"/>
          <w:szCs w:val="16"/>
        </w:rPr>
        <w:t>Давидович Е.А.</w:t>
      </w:r>
      <w:r>
        <w:rPr>
          <w:sz w:val="20"/>
          <w:szCs w:val="16"/>
        </w:rPr>
        <w:t xml:space="preserve"> Из области денежного обращения в Средней Азии  XI–XIII вв. // НЭ. Т.2. 1960. – С. 92–117.</w:t>
      </w:r>
    </w:p>
    <w:p w14:paraId="28E26FB5" w14:textId="77777777" w:rsidR="00CD484C" w:rsidRDefault="00CD484C">
      <w:pPr>
        <w:ind w:firstLine="397"/>
        <w:jc w:val="both"/>
        <w:rPr>
          <w:sz w:val="20"/>
          <w:szCs w:val="16"/>
        </w:rPr>
      </w:pPr>
      <w:r>
        <w:rPr>
          <w:i/>
          <w:iCs/>
          <w:sz w:val="20"/>
          <w:szCs w:val="16"/>
        </w:rPr>
        <w:t>Давидович Е.А.</w:t>
      </w:r>
      <w:r>
        <w:rPr>
          <w:sz w:val="20"/>
          <w:szCs w:val="16"/>
        </w:rPr>
        <w:t xml:space="preserve"> Денежное обращение в Маверанахре при Саманидах // НЭ. Т.6. 1966. – С. 103–143.</w:t>
      </w:r>
    </w:p>
    <w:p w14:paraId="11E42988" w14:textId="77777777" w:rsidR="00CD484C" w:rsidRDefault="00CD484C">
      <w:pPr>
        <w:ind w:firstLine="397"/>
        <w:jc w:val="both"/>
        <w:rPr>
          <w:sz w:val="20"/>
          <w:szCs w:val="16"/>
        </w:rPr>
      </w:pPr>
      <w:r>
        <w:rPr>
          <w:i/>
          <w:iCs/>
          <w:sz w:val="20"/>
          <w:szCs w:val="16"/>
        </w:rPr>
        <w:lastRenderedPageBreak/>
        <w:t>Давидович Е.А.</w:t>
      </w:r>
      <w:r>
        <w:rPr>
          <w:sz w:val="20"/>
          <w:szCs w:val="16"/>
        </w:rPr>
        <w:t xml:space="preserve"> Клады восточных монет, найденные в 1964–1965 гг. на территории Таджикистана // ЭВ Т.19. – 1969.</w:t>
      </w:r>
    </w:p>
    <w:p w14:paraId="791A086A" w14:textId="77777777" w:rsidR="00CD484C" w:rsidRDefault="00CD484C">
      <w:pPr>
        <w:ind w:firstLine="397"/>
        <w:jc w:val="both"/>
        <w:rPr>
          <w:sz w:val="20"/>
          <w:szCs w:val="16"/>
        </w:rPr>
      </w:pPr>
      <w:r>
        <w:rPr>
          <w:i/>
          <w:iCs/>
          <w:sz w:val="20"/>
          <w:szCs w:val="16"/>
        </w:rPr>
        <w:t>Даркевич В.П.</w:t>
      </w:r>
      <w:r>
        <w:rPr>
          <w:sz w:val="20"/>
          <w:szCs w:val="16"/>
        </w:rPr>
        <w:t xml:space="preserve"> Художественный металл Востока VII-ХШ вв. Произведения восточной торевтики на территории СССP и Зауралья. М.: Наука, 1976. – 200 с.</w:t>
      </w:r>
    </w:p>
    <w:p w14:paraId="76C1CBAE" w14:textId="77777777" w:rsidR="00CD484C" w:rsidRDefault="00CD484C">
      <w:pPr>
        <w:ind w:firstLine="397"/>
        <w:jc w:val="both"/>
        <w:rPr>
          <w:sz w:val="20"/>
          <w:szCs w:val="16"/>
        </w:rPr>
      </w:pPr>
      <w:r>
        <w:rPr>
          <w:i/>
          <w:iCs/>
          <w:sz w:val="20"/>
          <w:szCs w:val="16"/>
        </w:rPr>
        <w:t>Джаксон Т.Н.</w:t>
      </w:r>
      <w:r>
        <w:rPr>
          <w:sz w:val="20"/>
          <w:szCs w:val="16"/>
        </w:rPr>
        <w:t xml:space="preserve"> Исландские королевские саги о Восточной Европе (первая треть ХI в.). М.: Лодомир, 1994. – 256 с.</w:t>
      </w:r>
    </w:p>
    <w:p w14:paraId="03AFD81D" w14:textId="77777777" w:rsidR="00CD484C" w:rsidRDefault="00CD484C">
      <w:pPr>
        <w:ind w:firstLine="397"/>
        <w:jc w:val="both"/>
        <w:rPr>
          <w:sz w:val="20"/>
          <w:szCs w:val="16"/>
        </w:rPr>
      </w:pPr>
      <w:r>
        <w:rPr>
          <w:i/>
          <w:iCs/>
          <w:sz w:val="20"/>
          <w:szCs w:val="16"/>
        </w:rPr>
        <w:t xml:space="preserve">Джаксон Т.Н. </w:t>
      </w:r>
      <w:r>
        <w:rPr>
          <w:sz w:val="20"/>
          <w:szCs w:val="16"/>
        </w:rPr>
        <w:t>Древняя Русь в скандинавских письменных источниках IX–ХIV вв. Дисс. в форме научного доклада на соискание ученой степени д-ра ист.наук. М., 1995. – 62 c.</w:t>
      </w:r>
    </w:p>
    <w:p w14:paraId="0C02746E" w14:textId="77777777" w:rsidR="00CD484C" w:rsidRDefault="00CD484C">
      <w:pPr>
        <w:ind w:firstLine="397"/>
        <w:jc w:val="both"/>
        <w:rPr>
          <w:sz w:val="20"/>
          <w:szCs w:val="16"/>
        </w:rPr>
      </w:pPr>
      <w:r>
        <w:rPr>
          <w:i/>
          <w:iCs/>
          <w:sz w:val="20"/>
          <w:szCs w:val="16"/>
        </w:rPr>
        <w:t>Джаксон Т.Н.</w:t>
      </w:r>
      <w:r>
        <w:rPr>
          <w:sz w:val="20"/>
          <w:szCs w:val="16"/>
        </w:rPr>
        <w:t xml:space="preserve"> Исландские королевские саги о Восточной Европе (середина ХI – середина ХШ в.) тексты, перевод, комментарий. М.: НИЦ «Ладомир», 2000. – 366 с.</w:t>
      </w:r>
    </w:p>
    <w:p w14:paraId="553953A9" w14:textId="77777777" w:rsidR="00CD484C" w:rsidRDefault="00CD484C">
      <w:pPr>
        <w:ind w:firstLine="397"/>
        <w:jc w:val="both"/>
        <w:rPr>
          <w:spacing w:val="-2"/>
          <w:sz w:val="20"/>
          <w:szCs w:val="16"/>
        </w:rPr>
      </w:pPr>
      <w:r>
        <w:rPr>
          <w:i/>
          <w:iCs/>
          <w:spacing w:val="-2"/>
          <w:sz w:val="20"/>
          <w:szCs w:val="16"/>
        </w:rPr>
        <w:t>Джаксон Т.Н.</w:t>
      </w:r>
      <w:r>
        <w:rPr>
          <w:spacing w:val="-2"/>
          <w:sz w:val="20"/>
          <w:szCs w:val="16"/>
        </w:rPr>
        <w:t xml:space="preserve"> AUSTR I GORDUM. Лревнерусские топонимы в древнескандинавских источниках. М.: Языки славянской культуры, 2001. – 208 с.</w:t>
      </w:r>
    </w:p>
    <w:p w14:paraId="134B60F9" w14:textId="77777777" w:rsidR="00CD484C" w:rsidRDefault="00CD484C">
      <w:pPr>
        <w:tabs>
          <w:tab w:val="left" w:pos="567"/>
          <w:tab w:val="left" w:pos="2268"/>
          <w:tab w:val="left" w:pos="2694"/>
        </w:tabs>
        <w:ind w:firstLine="397"/>
        <w:jc w:val="both"/>
        <w:rPr>
          <w:sz w:val="20"/>
          <w:szCs w:val="16"/>
        </w:rPr>
      </w:pPr>
      <w:r>
        <w:rPr>
          <w:i/>
          <w:iCs/>
          <w:sz w:val="20"/>
          <w:szCs w:val="16"/>
        </w:rPr>
        <w:t xml:space="preserve">Джалаганиа И.Л. </w:t>
      </w:r>
      <w:r>
        <w:rPr>
          <w:sz w:val="20"/>
          <w:szCs w:val="16"/>
        </w:rPr>
        <w:t>Иноземная монета в денежного обращении Грузии V–ХIII вв. Тбилиси: Мецниереба, 1979. – 151 с.</w:t>
      </w:r>
    </w:p>
    <w:p w14:paraId="4DD3FD7C" w14:textId="77777777" w:rsidR="00CD484C" w:rsidRDefault="00CD484C">
      <w:pPr>
        <w:ind w:firstLine="397"/>
        <w:jc w:val="both"/>
        <w:rPr>
          <w:sz w:val="20"/>
          <w:szCs w:val="16"/>
        </w:rPr>
      </w:pPr>
      <w:r>
        <w:rPr>
          <w:i/>
          <w:iCs/>
          <w:sz w:val="20"/>
          <w:szCs w:val="16"/>
        </w:rPr>
        <w:t>Добровольский И.Г.</w:t>
      </w:r>
      <w:r>
        <w:rPr>
          <w:sz w:val="20"/>
          <w:szCs w:val="16"/>
        </w:rPr>
        <w:t xml:space="preserve"> Клад куфических монет начала XI в. из селения Красный Баран (б.Крещенный Баран) в Татарстане. Новые данные // Девятая  ВНК. Тез.докл. СПб: ГЭ, 2001. – С. 64–65.</w:t>
      </w:r>
    </w:p>
    <w:p w14:paraId="58B04D65" w14:textId="77777777" w:rsidR="00CD484C" w:rsidRDefault="00CD484C">
      <w:pPr>
        <w:ind w:firstLine="397"/>
        <w:jc w:val="both"/>
        <w:rPr>
          <w:sz w:val="20"/>
          <w:szCs w:val="16"/>
        </w:rPr>
      </w:pPr>
      <w:r>
        <w:rPr>
          <w:i/>
          <w:iCs/>
          <w:sz w:val="20"/>
          <w:szCs w:val="16"/>
        </w:rPr>
        <w:t>Добровольский И.Г., Дубов И.В., Седых В.Н.</w:t>
      </w:r>
      <w:r>
        <w:rPr>
          <w:sz w:val="20"/>
          <w:szCs w:val="16"/>
        </w:rPr>
        <w:t xml:space="preserve"> Монетные находки в Ярославском Поволжье и их значение для этносоциальной истории // Монеты, медали, жетоны. М.: Археолографич. центр, 1996. – С. 175–191.</w:t>
      </w:r>
    </w:p>
    <w:p w14:paraId="7E96033D" w14:textId="77777777" w:rsidR="00CD484C" w:rsidRDefault="00CD484C">
      <w:pPr>
        <w:tabs>
          <w:tab w:val="left" w:pos="567"/>
          <w:tab w:val="left" w:pos="2268"/>
          <w:tab w:val="left" w:pos="2694"/>
        </w:tabs>
        <w:ind w:firstLine="397"/>
        <w:jc w:val="both"/>
        <w:rPr>
          <w:sz w:val="20"/>
          <w:szCs w:val="16"/>
        </w:rPr>
      </w:pPr>
      <w:r>
        <w:rPr>
          <w:i/>
          <w:iCs/>
          <w:sz w:val="20"/>
          <w:szCs w:val="16"/>
        </w:rPr>
        <w:t>Древняя Русь</w:t>
      </w:r>
      <w:r>
        <w:rPr>
          <w:sz w:val="20"/>
          <w:szCs w:val="16"/>
        </w:rPr>
        <w:t xml:space="preserve"> в свете зарубежных источников. Под ред. Е.А. Мельниковой. М.: “Логос”, 1999. – 608 с.</w:t>
      </w:r>
    </w:p>
    <w:p w14:paraId="5C073C69" w14:textId="77777777" w:rsidR="00CD484C" w:rsidRDefault="00CD484C">
      <w:pPr>
        <w:ind w:firstLine="397"/>
        <w:jc w:val="both"/>
        <w:rPr>
          <w:sz w:val="20"/>
          <w:szCs w:val="16"/>
        </w:rPr>
      </w:pPr>
      <w:r>
        <w:rPr>
          <w:i/>
          <w:iCs/>
          <w:sz w:val="20"/>
          <w:szCs w:val="16"/>
        </w:rPr>
        <w:t>Дубов И.В.</w:t>
      </w:r>
      <w:r>
        <w:rPr>
          <w:sz w:val="20"/>
          <w:szCs w:val="16"/>
        </w:rPr>
        <w:t xml:space="preserve"> Северо-Восточная Русь в эпоху средневековья (Историко-археологические очерки). Л.: ЛГУ, 1982. – 248 с.</w:t>
      </w:r>
    </w:p>
    <w:p w14:paraId="1CA56EB9" w14:textId="77777777" w:rsidR="00CD484C" w:rsidRDefault="00CD484C">
      <w:pPr>
        <w:ind w:firstLine="397"/>
        <w:jc w:val="both"/>
        <w:rPr>
          <w:sz w:val="20"/>
          <w:szCs w:val="16"/>
        </w:rPr>
      </w:pPr>
      <w:r>
        <w:rPr>
          <w:i/>
          <w:iCs/>
          <w:sz w:val="20"/>
          <w:szCs w:val="16"/>
        </w:rPr>
        <w:t>Дубов И.В.</w:t>
      </w:r>
      <w:r>
        <w:rPr>
          <w:sz w:val="20"/>
          <w:szCs w:val="16"/>
        </w:rPr>
        <w:t xml:space="preserve"> Великий Волжский путь. Л.: ЛГУ, 1989. – 267 с.</w:t>
      </w:r>
    </w:p>
    <w:p w14:paraId="11957C3D" w14:textId="77777777" w:rsidR="00CD484C" w:rsidRDefault="00CD484C">
      <w:pPr>
        <w:ind w:firstLine="397"/>
        <w:jc w:val="both"/>
        <w:rPr>
          <w:sz w:val="20"/>
          <w:szCs w:val="16"/>
        </w:rPr>
      </w:pPr>
      <w:r>
        <w:rPr>
          <w:i/>
          <w:iCs/>
          <w:sz w:val="20"/>
          <w:szCs w:val="16"/>
        </w:rPr>
        <w:t>Дубов И.В., Добровольский И.Г., Седых В.Н.</w:t>
      </w:r>
      <w:r>
        <w:rPr>
          <w:sz w:val="20"/>
          <w:szCs w:val="16"/>
        </w:rPr>
        <w:t xml:space="preserve"> Древняя Русь. Новые исследования // Славяно-русские древности. Вып. 2. – С. 102–125.</w:t>
      </w:r>
    </w:p>
    <w:p w14:paraId="2ECBD926" w14:textId="77777777" w:rsidR="00CD484C" w:rsidRDefault="00CD484C">
      <w:pPr>
        <w:ind w:firstLine="397"/>
        <w:jc w:val="both"/>
        <w:rPr>
          <w:sz w:val="20"/>
          <w:szCs w:val="16"/>
        </w:rPr>
      </w:pPr>
      <w:r>
        <w:rPr>
          <w:i/>
          <w:iCs/>
          <w:sz w:val="20"/>
          <w:szCs w:val="16"/>
        </w:rPr>
        <w:t>Дьяконов И.М.</w:t>
      </w:r>
      <w:r>
        <w:rPr>
          <w:sz w:val="20"/>
          <w:szCs w:val="16"/>
        </w:rPr>
        <w:t xml:space="preserve"> Пути  истории. М.: Наука, 1994. – 384 с.</w:t>
      </w:r>
    </w:p>
    <w:p w14:paraId="5D5647FE" w14:textId="77777777" w:rsidR="00CD484C" w:rsidRDefault="00CD484C">
      <w:pPr>
        <w:ind w:firstLine="397"/>
        <w:jc w:val="both"/>
        <w:rPr>
          <w:sz w:val="20"/>
          <w:szCs w:val="16"/>
        </w:rPr>
      </w:pPr>
      <w:r>
        <w:rPr>
          <w:i/>
          <w:iCs/>
          <w:sz w:val="20"/>
          <w:szCs w:val="16"/>
        </w:rPr>
        <w:t xml:space="preserve">Захаров Д.М. </w:t>
      </w:r>
      <w:r>
        <w:rPr>
          <w:sz w:val="20"/>
          <w:szCs w:val="16"/>
        </w:rPr>
        <w:t>Серебряная Вятка. Киров: Волго-Вятское книжное изд-во, 1990. – 208 с.</w:t>
      </w:r>
    </w:p>
    <w:p w14:paraId="5214B629" w14:textId="77777777" w:rsidR="00CD484C" w:rsidRDefault="00CD484C">
      <w:pPr>
        <w:ind w:firstLine="397"/>
        <w:jc w:val="both"/>
        <w:rPr>
          <w:sz w:val="20"/>
          <w:szCs w:val="16"/>
        </w:rPr>
      </w:pPr>
      <w:r>
        <w:rPr>
          <w:i/>
          <w:iCs/>
          <w:sz w:val="20"/>
          <w:szCs w:val="16"/>
        </w:rPr>
        <w:t>Ибн Хордадбех.</w:t>
      </w:r>
      <w:r>
        <w:rPr>
          <w:sz w:val="20"/>
          <w:szCs w:val="16"/>
        </w:rPr>
        <w:t xml:space="preserve"> Книга путей и стран. Пер. Н. Велихановой. Баку: Элм, 1986. – 428 с.</w:t>
      </w:r>
    </w:p>
    <w:p w14:paraId="7F9D2965" w14:textId="77777777" w:rsidR="00CD484C" w:rsidRDefault="00CD484C">
      <w:pPr>
        <w:ind w:firstLine="397"/>
        <w:jc w:val="both"/>
        <w:rPr>
          <w:sz w:val="20"/>
          <w:szCs w:val="16"/>
        </w:rPr>
      </w:pPr>
      <w:r>
        <w:rPr>
          <w:i/>
          <w:iCs/>
          <w:sz w:val="20"/>
          <w:szCs w:val="16"/>
        </w:rPr>
        <w:t>Иванов А.Г.</w:t>
      </w:r>
      <w:r>
        <w:rPr>
          <w:sz w:val="20"/>
          <w:szCs w:val="16"/>
        </w:rPr>
        <w:t xml:space="preserve"> Этнокультурные и экономические связи населения бассейна р.Чепца в эпоху средневековья: конец V – первая половина ХШ вв. Ижевск. 1998.</w:t>
      </w:r>
    </w:p>
    <w:p w14:paraId="4B49F41D" w14:textId="77777777" w:rsidR="00CD484C" w:rsidRDefault="00CD484C">
      <w:pPr>
        <w:tabs>
          <w:tab w:val="left" w:pos="567"/>
          <w:tab w:val="left" w:pos="2268"/>
          <w:tab w:val="left" w:pos="2694"/>
        </w:tabs>
        <w:ind w:firstLine="397"/>
        <w:jc w:val="both"/>
        <w:rPr>
          <w:sz w:val="20"/>
          <w:szCs w:val="16"/>
        </w:rPr>
      </w:pPr>
      <w:r>
        <w:rPr>
          <w:i/>
          <w:iCs/>
          <w:sz w:val="20"/>
          <w:szCs w:val="16"/>
        </w:rPr>
        <w:t>Изв. Императорского</w:t>
      </w:r>
      <w:r>
        <w:rPr>
          <w:sz w:val="20"/>
          <w:szCs w:val="16"/>
        </w:rPr>
        <w:t xml:space="preserve"> Русского Археологического общества. Т.6. СПб. 1868. – С. 243–244.</w:t>
      </w:r>
    </w:p>
    <w:p w14:paraId="6F26D014" w14:textId="77777777" w:rsidR="00CD484C" w:rsidRDefault="00CD484C">
      <w:pPr>
        <w:tabs>
          <w:tab w:val="left" w:pos="567"/>
          <w:tab w:val="left" w:pos="2268"/>
          <w:tab w:val="left" w:pos="2694"/>
        </w:tabs>
        <w:ind w:firstLine="397"/>
        <w:jc w:val="both"/>
        <w:rPr>
          <w:sz w:val="20"/>
          <w:szCs w:val="16"/>
        </w:rPr>
      </w:pPr>
      <w:r>
        <w:rPr>
          <w:i/>
          <w:iCs/>
          <w:sz w:val="20"/>
          <w:szCs w:val="16"/>
        </w:rPr>
        <w:t>История Востока.</w:t>
      </w:r>
      <w:r>
        <w:rPr>
          <w:sz w:val="20"/>
          <w:szCs w:val="16"/>
        </w:rPr>
        <w:t xml:space="preserve"> Т.2. Восток в средние века. М.: Издат.фирма “ВЛ” РАН, 1999. – 716 с.</w:t>
      </w:r>
    </w:p>
    <w:p w14:paraId="3F097D69" w14:textId="34400EBD" w:rsidR="00CD484C" w:rsidRDefault="00395416">
      <w:pPr>
        <w:tabs>
          <w:tab w:val="left" w:pos="567"/>
          <w:tab w:val="left" w:pos="2268"/>
          <w:tab w:val="left" w:pos="2694"/>
        </w:tabs>
        <w:ind w:firstLine="397"/>
        <w:jc w:val="both"/>
        <w:rPr>
          <w:sz w:val="20"/>
          <w:szCs w:val="16"/>
        </w:rPr>
      </w:pPr>
      <w:r>
        <w:rPr>
          <w:i/>
          <w:iCs/>
          <w:noProof/>
          <w:sz w:val="20"/>
          <w:szCs w:val="16"/>
        </w:rPr>
        <w:lastRenderedPageBreak/>
        <mc:AlternateContent>
          <mc:Choice Requires="wps">
            <w:drawing>
              <wp:anchor distT="0" distB="0" distL="114300" distR="114300" simplePos="0" relativeHeight="251688448" behindDoc="0" locked="1" layoutInCell="1" allowOverlap="1" wp14:anchorId="67A46623" wp14:editId="128C87BD">
                <wp:simplePos x="0" y="0"/>
                <wp:positionH relativeFrom="column">
                  <wp:posOffset>0</wp:posOffset>
                </wp:positionH>
                <wp:positionV relativeFrom="paragraph">
                  <wp:posOffset>-252730</wp:posOffset>
                </wp:positionV>
                <wp:extent cx="4095750" cy="186690"/>
                <wp:effectExtent l="0" t="1905" r="3810" b="1905"/>
                <wp:wrapNone/>
                <wp:docPr id="1585981113"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74408"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1639CE2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46623" id="Text Box 250" o:spid="_x0000_s1093" type="#_x0000_t202" style="position:absolute;left:0;text-align:left;margin-left:0;margin-top:-19.9pt;width:322.5pt;height:14.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X6e7wEAAMIDAAAOAAAAZHJzL2Uyb0RvYy54bWysU8Fu2zAMvQ/YPwi6L3aKNW2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JjfXF5dUkpSbnm9Wt2kqWSimKsd+vBZQc9iUHKkoSZ0cXjwIXYjivlKfMyD0fVOG5M22FZb&#10;g+wgyAC79CUCr64ZGy9biGUTYjxJNCOziWMYq5HpuuSrq4gRaVdQH4k4wmQs+hEo6AB/czaQqUru&#10;f+0FKs7MF0viRQfOAc5BNQfCSioteeBsCrdhcureoW47Qp7GY+GOBG504v7SxalfMkqS5GTq6MS/&#10;9+nWy6+3+QM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l2X6e7wEAAMIDAAAOAAAAAAAAAAAAAAAAAC4CAABkcnMvZTJv&#10;RG9jLnhtbFBLAQItABQABgAIAAAAIQCnTgMH3gAAAAgBAAAPAAAAAAAAAAAAAAAAAEkEAABkcnMv&#10;ZG93bnJldi54bWxQSwUGAAAAAAQABADzAAAAVAUAAAAA&#10;" stroked="f">
                <v:textbox inset="0,0,0,0">
                  <w:txbxContent>
                    <w:p w14:paraId="4F374408"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1639CE29" w14:textId="77777777" w:rsidR="00AE2133" w:rsidRDefault="00AE2133">
                      <w:pPr>
                        <w:rPr>
                          <w:b/>
                          <w:bCs/>
                          <w:sz w:val="2"/>
                          <w:u w:val="single"/>
                        </w:rPr>
                      </w:pPr>
                    </w:p>
                  </w:txbxContent>
                </v:textbox>
                <w10:anchorlock/>
              </v:shape>
            </w:pict>
          </mc:Fallback>
        </mc:AlternateContent>
      </w:r>
      <w:r w:rsidR="00CD484C">
        <w:rPr>
          <w:i/>
          <w:iCs/>
          <w:sz w:val="20"/>
          <w:szCs w:val="16"/>
        </w:rPr>
        <w:t xml:space="preserve">История Ирана </w:t>
      </w:r>
      <w:r w:rsidR="00CD484C">
        <w:rPr>
          <w:sz w:val="20"/>
          <w:szCs w:val="16"/>
        </w:rPr>
        <w:t>с древнейших времен до конца ХVIII века. 1958. Л.: ЛГУ. – 390 с.</w:t>
      </w:r>
    </w:p>
    <w:p w14:paraId="6A1CFF95" w14:textId="77777777" w:rsidR="00CD484C" w:rsidRDefault="00CD484C">
      <w:pPr>
        <w:ind w:firstLine="397"/>
        <w:jc w:val="both"/>
        <w:rPr>
          <w:sz w:val="20"/>
          <w:szCs w:val="16"/>
        </w:rPr>
      </w:pPr>
      <w:r>
        <w:rPr>
          <w:i/>
          <w:iCs/>
          <w:sz w:val="20"/>
          <w:szCs w:val="16"/>
        </w:rPr>
        <w:t>Калинин В.А.</w:t>
      </w:r>
      <w:r>
        <w:rPr>
          <w:sz w:val="20"/>
          <w:szCs w:val="16"/>
        </w:rPr>
        <w:t xml:space="preserve"> Клад куфических монет из села Лужки Московской области // Древности Поволжья и других регионов. Вып. III. Нумизматический сборник. Т.II. 2000. – С. 213–214.</w:t>
      </w:r>
    </w:p>
    <w:p w14:paraId="7585DA2E" w14:textId="77777777" w:rsidR="00CD484C" w:rsidRDefault="00CD484C">
      <w:pPr>
        <w:ind w:firstLine="397"/>
        <w:jc w:val="both"/>
        <w:rPr>
          <w:sz w:val="20"/>
          <w:szCs w:val="16"/>
        </w:rPr>
      </w:pPr>
      <w:r>
        <w:rPr>
          <w:i/>
          <w:iCs/>
          <w:sz w:val="20"/>
          <w:szCs w:val="16"/>
        </w:rPr>
        <w:t>Калинин В.А., Петров П.Н.</w:t>
      </w:r>
      <w:r>
        <w:rPr>
          <w:sz w:val="20"/>
          <w:szCs w:val="16"/>
        </w:rPr>
        <w:t xml:space="preserve"> Клад позднесаманидских дирхемов из Туркменистана // Древности Поволжья и других регионов. Вып.III. Нумизматический сборник. Т.II. 2000. – С. 217–220.</w:t>
      </w:r>
    </w:p>
    <w:p w14:paraId="2B101BDC" w14:textId="77777777" w:rsidR="00CD484C" w:rsidRDefault="00CD484C">
      <w:pPr>
        <w:ind w:firstLine="397"/>
        <w:jc w:val="both"/>
        <w:rPr>
          <w:sz w:val="20"/>
          <w:szCs w:val="16"/>
        </w:rPr>
      </w:pPr>
      <w:r>
        <w:rPr>
          <w:i/>
          <w:iCs/>
          <w:sz w:val="20"/>
          <w:szCs w:val="16"/>
        </w:rPr>
        <w:t xml:space="preserve">Калинина Т.М. </w:t>
      </w:r>
      <w:r>
        <w:rPr>
          <w:sz w:val="20"/>
          <w:szCs w:val="16"/>
        </w:rPr>
        <w:t xml:space="preserve">Торговые пути Восточной Европы IX в. (По данным Ибн Хордадбеха и Ибн ал-Факкиха // История СССР. 1986. – № 4. – </w:t>
      </w:r>
      <w:r>
        <w:rPr>
          <w:sz w:val="20"/>
          <w:szCs w:val="16"/>
        </w:rPr>
        <w:br/>
        <w:t>С. 68–82.</w:t>
      </w:r>
    </w:p>
    <w:p w14:paraId="24099839" w14:textId="77777777" w:rsidR="00CD484C" w:rsidRDefault="00CD484C">
      <w:pPr>
        <w:ind w:firstLine="397"/>
        <w:jc w:val="both"/>
        <w:rPr>
          <w:sz w:val="20"/>
          <w:szCs w:val="16"/>
        </w:rPr>
      </w:pPr>
      <w:r>
        <w:rPr>
          <w:i/>
          <w:iCs/>
          <w:sz w:val="20"/>
          <w:szCs w:val="16"/>
        </w:rPr>
        <w:t>Калинина Т.М.</w:t>
      </w:r>
      <w:r>
        <w:rPr>
          <w:sz w:val="20"/>
          <w:szCs w:val="16"/>
        </w:rPr>
        <w:t xml:space="preserve"> О походе русов на Каспий 303–912 гг. // Восточной Европа в древности и средневековье. Международная договорная практика Древней Руси. IX Чтения памяти члена-корреспондента АН СССР В.Т. Пашуто.  Материалы к конференции. М., 1997. – С. 11–16.</w:t>
      </w:r>
    </w:p>
    <w:p w14:paraId="1F217942" w14:textId="77777777" w:rsidR="00CD484C" w:rsidRDefault="00CD484C">
      <w:pPr>
        <w:ind w:firstLine="397"/>
        <w:jc w:val="both"/>
        <w:rPr>
          <w:sz w:val="20"/>
          <w:szCs w:val="16"/>
        </w:rPr>
      </w:pPr>
      <w:r>
        <w:rPr>
          <w:i/>
          <w:iCs/>
          <w:sz w:val="20"/>
          <w:szCs w:val="16"/>
        </w:rPr>
        <w:t>Каштанов С.М.</w:t>
      </w:r>
      <w:r>
        <w:rPr>
          <w:sz w:val="20"/>
          <w:szCs w:val="16"/>
        </w:rPr>
        <w:t xml:space="preserve"> Возникновение дани в Древней Руси // От Древней Руси к России нового времени. Сб.статей к 70-летию А.Л. Хорошкевич. М.: Наука, 2003. – С. 57–76.</w:t>
      </w:r>
    </w:p>
    <w:p w14:paraId="62359571" w14:textId="77777777" w:rsidR="00CD484C" w:rsidRDefault="00CD484C">
      <w:pPr>
        <w:ind w:firstLine="397"/>
        <w:jc w:val="both"/>
        <w:rPr>
          <w:sz w:val="20"/>
          <w:szCs w:val="16"/>
        </w:rPr>
      </w:pPr>
      <w:r>
        <w:rPr>
          <w:i/>
          <w:iCs/>
          <w:sz w:val="20"/>
          <w:szCs w:val="16"/>
        </w:rPr>
        <w:t xml:space="preserve">Кирпичников А.Н. </w:t>
      </w:r>
      <w:r>
        <w:rPr>
          <w:sz w:val="20"/>
          <w:szCs w:val="16"/>
        </w:rPr>
        <w:t>Ладога и Ладожская земля УП-ХШ вв. // Славяно-русские дрвности. Вып. 1. Историко-археологическое изучение Древней Руси. Л.: ЛГУ, 1988. – С. 38–79.</w:t>
      </w:r>
    </w:p>
    <w:p w14:paraId="3CB3004B" w14:textId="77777777" w:rsidR="00CD484C" w:rsidRDefault="00CD484C">
      <w:pPr>
        <w:ind w:firstLine="397"/>
        <w:jc w:val="both"/>
        <w:rPr>
          <w:sz w:val="20"/>
          <w:szCs w:val="16"/>
        </w:rPr>
      </w:pPr>
      <w:r>
        <w:rPr>
          <w:i/>
          <w:iCs/>
          <w:sz w:val="20"/>
          <w:szCs w:val="16"/>
        </w:rPr>
        <w:t xml:space="preserve">Кирпичников А.Н. </w:t>
      </w:r>
      <w:r>
        <w:rPr>
          <w:sz w:val="20"/>
          <w:szCs w:val="16"/>
        </w:rPr>
        <w:t>Ладога VIII–Х вв. и её международные связи // Там же. Вып. 2. Новые исследования СПб, 1995. – С. 28–53.</w:t>
      </w:r>
    </w:p>
    <w:p w14:paraId="3A1F1AD5" w14:textId="77777777" w:rsidR="00CD484C" w:rsidRDefault="00CD484C">
      <w:pPr>
        <w:ind w:firstLine="397"/>
        <w:jc w:val="both"/>
        <w:rPr>
          <w:sz w:val="20"/>
          <w:szCs w:val="16"/>
        </w:rPr>
      </w:pPr>
      <w:r>
        <w:rPr>
          <w:i/>
          <w:iCs/>
          <w:sz w:val="20"/>
          <w:szCs w:val="16"/>
        </w:rPr>
        <w:t>Кирпичников А.Н.</w:t>
      </w:r>
      <w:r>
        <w:rPr>
          <w:sz w:val="20"/>
          <w:szCs w:val="16"/>
        </w:rPr>
        <w:t xml:space="preserve"> Великий волжский путь и евразийские торговые пути в эпоху раннего средневековья // Ладога и ее соседи в эпоху средневековья. СПб. 2002. – С. 34–58.</w:t>
      </w:r>
    </w:p>
    <w:p w14:paraId="56553232" w14:textId="77777777" w:rsidR="00CD484C" w:rsidRDefault="00CD484C">
      <w:pPr>
        <w:ind w:firstLine="397"/>
        <w:jc w:val="both"/>
        <w:rPr>
          <w:sz w:val="20"/>
          <w:szCs w:val="16"/>
        </w:rPr>
      </w:pPr>
      <w:r>
        <w:rPr>
          <w:i/>
          <w:iCs/>
          <w:sz w:val="20"/>
          <w:szCs w:val="16"/>
        </w:rPr>
        <w:t xml:space="preserve">Клейн Л.С. </w:t>
      </w:r>
      <w:r>
        <w:rPr>
          <w:sz w:val="20"/>
          <w:szCs w:val="16"/>
        </w:rPr>
        <w:t>Археологическая типология. Л.: ЛГУ, ЛФ ЦЭНДИСИ, 1991. – 418 с.</w:t>
      </w:r>
    </w:p>
    <w:p w14:paraId="1D7399AF" w14:textId="77777777" w:rsidR="00CD484C" w:rsidRDefault="00CD484C">
      <w:pPr>
        <w:ind w:firstLine="397"/>
        <w:jc w:val="both"/>
        <w:rPr>
          <w:sz w:val="20"/>
          <w:szCs w:val="16"/>
        </w:rPr>
      </w:pPr>
      <w:r>
        <w:rPr>
          <w:i/>
          <w:iCs/>
          <w:sz w:val="20"/>
          <w:szCs w:val="16"/>
        </w:rPr>
        <w:t>Ковалевская В.Б.</w:t>
      </w:r>
      <w:r>
        <w:rPr>
          <w:sz w:val="20"/>
          <w:szCs w:val="16"/>
        </w:rPr>
        <w:t xml:space="preserve"> Компьютерная обработка массового археологического материала раннесредневековых памятников Евразии. М.: ОНТИ ПНЦ РАН, 2000. – 364 с.</w:t>
      </w:r>
    </w:p>
    <w:p w14:paraId="76DB892A" w14:textId="77777777" w:rsidR="00CD484C" w:rsidRDefault="00CD484C">
      <w:pPr>
        <w:ind w:firstLine="397"/>
        <w:jc w:val="both"/>
        <w:rPr>
          <w:sz w:val="20"/>
          <w:szCs w:val="16"/>
        </w:rPr>
      </w:pPr>
      <w:r>
        <w:rPr>
          <w:i/>
          <w:iCs/>
          <w:sz w:val="20"/>
          <w:szCs w:val="16"/>
        </w:rPr>
        <w:t>Ковалев Р.К., Рипслинг Г.</w:t>
      </w:r>
      <w:r>
        <w:rPr>
          <w:sz w:val="20"/>
          <w:szCs w:val="16"/>
        </w:rPr>
        <w:t xml:space="preserve"> Томас Нунан.  In memorian // НА, 2002. – № 1. – С. 19–23.</w:t>
      </w:r>
    </w:p>
    <w:p w14:paraId="5F2A121B" w14:textId="77777777" w:rsidR="00CD484C" w:rsidRDefault="00CD484C">
      <w:pPr>
        <w:ind w:firstLine="397"/>
        <w:jc w:val="both"/>
        <w:rPr>
          <w:sz w:val="20"/>
          <w:szCs w:val="16"/>
        </w:rPr>
      </w:pPr>
      <w:r>
        <w:rPr>
          <w:i/>
          <w:iCs/>
          <w:sz w:val="20"/>
          <w:szCs w:val="16"/>
        </w:rPr>
        <w:t>Колесников А.И.</w:t>
      </w:r>
      <w:r>
        <w:rPr>
          <w:sz w:val="20"/>
          <w:szCs w:val="16"/>
        </w:rPr>
        <w:t xml:space="preserve"> Завоевание Ирана арабами (Иран при «праведных»  халифах). М.: Наука, 1982. – 256 с.</w:t>
      </w:r>
    </w:p>
    <w:p w14:paraId="6C058DC4" w14:textId="77777777" w:rsidR="00CD484C" w:rsidRDefault="00CD484C">
      <w:pPr>
        <w:ind w:firstLine="397"/>
        <w:jc w:val="both"/>
        <w:rPr>
          <w:sz w:val="20"/>
          <w:szCs w:val="16"/>
        </w:rPr>
      </w:pPr>
      <w:r>
        <w:rPr>
          <w:i/>
          <w:iCs/>
          <w:sz w:val="20"/>
          <w:szCs w:val="16"/>
        </w:rPr>
        <w:t>Колесников А.И.</w:t>
      </w:r>
      <w:r>
        <w:rPr>
          <w:sz w:val="20"/>
          <w:szCs w:val="16"/>
        </w:rPr>
        <w:t xml:space="preserve"> Денежное хозяйство в Иране в VII в. М.: «Восточная литература» РАН, 1998. – 418 с.</w:t>
      </w:r>
    </w:p>
    <w:p w14:paraId="2C1C90FD" w14:textId="77777777" w:rsidR="00CD484C" w:rsidRDefault="00CD484C">
      <w:pPr>
        <w:ind w:firstLine="397"/>
        <w:jc w:val="both"/>
        <w:rPr>
          <w:sz w:val="20"/>
          <w:szCs w:val="16"/>
        </w:rPr>
      </w:pPr>
      <w:r>
        <w:rPr>
          <w:i/>
          <w:iCs/>
          <w:sz w:val="20"/>
          <w:szCs w:val="16"/>
        </w:rPr>
        <w:t>Колызин А.М.</w:t>
      </w:r>
      <w:r>
        <w:rPr>
          <w:sz w:val="20"/>
          <w:szCs w:val="16"/>
        </w:rPr>
        <w:t xml:space="preserve"> Торговля древней Москвы (XII – середина ХV в.) / Отв. ред. В.Л. Янин. М.: Информполиграф, 2001. – 278 с.</w:t>
      </w:r>
    </w:p>
    <w:p w14:paraId="5EF30C41" w14:textId="77777777" w:rsidR="00CD484C" w:rsidRDefault="00CD484C">
      <w:pPr>
        <w:ind w:firstLine="397"/>
        <w:jc w:val="both"/>
        <w:rPr>
          <w:sz w:val="20"/>
          <w:szCs w:val="16"/>
        </w:rPr>
      </w:pPr>
      <w:r>
        <w:rPr>
          <w:i/>
          <w:iCs/>
          <w:sz w:val="20"/>
          <w:szCs w:val="16"/>
        </w:rPr>
        <w:t>Коновалова И.Г.</w:t>
      </w:r>
      <w:r>
        <w:rPr>
          <w:sz w:val="20"/>
          <w:szCs w:val="16"/>
        </w:rPr>
        <w:t xml:space="preserve"> Русско-хазарские отношения на Каспии // Восточной Европа в древности и средневековье. Международная договорная практика </w:t>
      </w:r>
      <w:r>
        <w:rPr>
          <w:sz w:val="20"/>
          <w:szCs w:val="16"/>
        </w:rPr>
        <w:lastRenderedPageBreak/>
        <w:t>Древней Руси. IX Чтения памяти члена-корреспондента АН СССР В.Т. Пашуто.  Материалы к конференции. М., 1997. – С. 25–28.</w:t>
      </w:r>
    </w:p>
    <w:p w14:paraId="2D2A0B5B" w14:textId="77777777" w:rsidR="00CD484C" w:rsidRDefault="00CD484C">
      <w:pPr>
        <w:ind w:firstLine="397"/>
        <w:jc w:val="both"/>
        <w:rPr>
          <w:spacing w:val="-2"/>
          <w:sz w:val="20"/>
          <w:szCs w:val="16"/>
        </w:rPr>
      </w:pPr>
      <w:r>
        <w:rPr>
          <w:i/>
          <w:iCs/>
          <w:spacing w:val="-2"/>
          <w:sz w:val="20"/>
          <w:szCs w:val="16"/>
        </w:rPr>
        <w:t>Коновалова И.Г.</w:t>
      </w:r>
      <w:r>
        <w:rPr>
          <w:spacing w:val="-2"/>
          <w:sz w:val="20"/>
          <w:szCs w:val="16"/>
        </w:rPr>
        <w:t xml:space="preserve"> Пути сообщения в Восточной Европе по данным средневековых арабо-персидских авторов // ДГ 1998. М. 2000. – С. 126–133.</w:t>
      </w:r>
    </w:p>
    <w:p w14:paraId="4102718F" w14:textId="77777777" w:rsidR="00CD484C" w:rsidRDefault="00CD484C">
      <w:pPr>
        <w:ind w:firstLine="397"/>
        <w:jc w:val="both"/>
        <w:rPr>
          <w:spacing w:val="-4"/>
          <w:sz w:val="20"/>
          <w:szCs w:val="16"/>
        </w:rPr>
      </w:pPr>
      <w:r>
        <w:rPr>
          <w:i/>
          <w:iCs/>
          <w:spacing w:val="-4"/>
          <w:sz w:val="20"/>
          <w:szCs w:val="16"/>
        </w:rPr>
        <w:t>Коновалова И.Г.</w:t>
      </w:r>
      <w:r>
        <w:rPr>
          <w:spacing w:val="-4"/>
          <w:sz w:val="20"/>
          <w:szCs w:val="16"/>
        </w:rPr>
        <w:t xml:space="preserve"> Хорезм и Восточная Европа //  Норна у источника. Судбы. Сб.статей в честь Е.А. Мельниковой. М.: ИНДОРИК, 2001. – С. 184–190.</w:t>
      </w:r>
    </w:p>
    <w:p w14:paraId="15CB4A14" w14:textId="77777777" w:rsidR="00CD484C" w:rsidRDefault="00CD484C">
      <w:pPr>
        <w:ind w:firstLine="397"/>
        <w:jc w:val="both"/>
        <w:rPr>
          <w:sz w:val="20"/>
          <w:szCs w:val="16"/>
        </w:rPr>
      </w:pPr>
      <w:r>
        <w:rPr>
          <w:i/>
          <w:iCs/>
          <w:sz w:val="20"/>
          <w:szCs w:val="16"/>
        </w:rPr>
        <w:t>Котляр Н.Ф.</w:t>
      </w:r>
      <w:r>
        <w:rPr>
          <w:sz w:val="20"/>
          <w:szCs w:val="16"/>
        </w:rPr>
        <w:t xml:space="preserve"> Древнерусская государственность. СПб: АЛЕТЕЙЯ, 1998. – 445 с.</w:t>
      </w:r>
    </w:p>
    <w:p w14:paraId="32E58D8D" w14:textId="77777777" w:rsidR="00CD484C" w:rsidRDefault="00CD484C">
      <w:pPr>
        <w:ind w:firstLine="397"/>
        <w:jc w:val="both"/>
        <w:rPr>
          <w:sz w:val="20"/>
          <w:szCs w:val="16"/>
        </w:rPr>
      </w:pPr>
      <w:r>
        <w:rPr>
          <w:i/>
          <w:iCs/>
          <w:sz w:val="20"/>
          <w:szCs w:val="16"/>
        </w:rPr>
        <w:t>Кочнев  Б.Д.</w:t>
      </w:r>
      <w:r>
        <w:rPr>
          <w:sz w:val="20"/>
          <w:szCs w:val="16"/>
        </w:rPr>
        <w:t xml:space="preserve"> Клады серебряных монет Х в. из Узбекистана // Четвертая ВНК Тез. докл. М., 1996. – С. 36–38.</w:t>
      </w:r>
    </w:p>
    <w:p w14:paraId="2B741B1D" w14:textId="77777777" w:rsidR="00CD484C" w:rsidRDefault="00CD484C">
      <w:pPr>
        <w:ind w:firstLine="397"/>
        <w:jc w:val="both"/>
        <w:rPr>
          <w:sz w:val="20"/>
          <w:szCs w:val="16"/>
        </w:rPr>
      </w:pPr>
      <w:r>
        <w:rPr>
          <w:i/>
          <w:iCs/>
          <w:sz w:val="20"/>
          <w:szCs w:val="16"/>
        </w:rPr>
        <w:t>Кропоткин В.В.</w:t>
      </w:r>
      <w:r>
        <w:rPr>
          <w:sz w:val="20"/>
          <w:szCs w:val="16"/>
        </w:rPr>
        <w:t xml:space="preserve"> Новые материалы по истории денежного обращения в Восточной Европе в конце VIII – первой половине IX в. // Славяне и Русь. М.: Наука, 1968. – С. 71–78.</w:t>
      </w:r>
    </w:p>
    <w:p w14:paraId="2040E68D" w14:textId="77777777" w:rsidR="00CD484C" w:rsidRDefault="00CD484C">
      <w:pPr>
        <w:ind w:firstLine="397"/>
        <w:jc w:val="both"/>
        <w:rPr>
          <w:sz w:val="20"/>
          <w:szCs w:val="16"/>
        </w:rPr>
      </w:pPr>
      <w:r>
        <w:rPr>
          <w:i/>
          <w:iCs/>
          <w:sz w:val="20"/>
          <w:szCs w:val="16"/>
        </w:rPr>
        <w:t>Кропоткин В.В.</w:t>
      </w:r>
      <w:r>
        <w:rPr>
          <w:sz w:val="20"/>
          <w:szCs w:val="16"/>
        </w:rPr>
        <w:t xml:space="preserve"> Новые находки сасанидских и куфических монет в Восточной Европы // НЭ. 1971. – Т. 9. – С. 76–97.</w:t>
      </w:r>
    </w:p>
    <w:p w14:paraId="74D97FD8" w14:textId="77777777" w:rsidR="00CD484C" w:rsidRDefault="00CD484C">
      <w:pPr>
        <w:ind w:firstLine="397"/>
        <w:jc w:val="both"/>
        <w:rPr>
          <w:sz w:val="20"/>
          <w:szCs w:val="16"/>
        </w:rPr>
      </w:pPr>
      <w:r>
        <w:rPr>
          <w:i/>
          <w:iCs/>
          <w:sz w:val="20"/>
          <w:szCs w:val="16"/>
        </w:rPr>
        <w:t>Кропоткин В.В.</w:t>
      </w:r>
      <w:r>
        <w:rPr>
          <w:sz w:val="20"/>
          <w:szCs w:val="16"/>
        </w:rPr>
        <w:t xml:space="preserve"> О топографии кладов куфических монет в Восточной Европе IX–X вв. // Древняя Русь и славяне. М.: Наука, 1978. – С. 111–117.</w:t>
      </w:r>
    </w:p>
    <w:p w14:paraId="570A6C64" w14:textId="77777777" w:rsidR="00CD484C" w:rsidRDefault="00CD484C">
      <w:pPr>
        <w:ind w:firstLine="397"/>
        <w:jc w:val="both"/>
        <w:rPr>
          <w:sz w:val="20"/>
          <w:szCs w:val="16"/>
        </w:rPr>
      </w:pPr>
      <w:r>
        <w:rPr>
          <w:i/>
          <w:iCs/>
          <w:sz w:val="20"/>
          <w:szCs w:val="16"/>
        </w:rPr>
        <w:t xml:space="preserve">Крым, </w:t>
      </w:r>
      <w:r>
        <w:rPr>
          <w:sz w:val="20"/>
          <w:szCs w:val="16"/>
        </w:rPr>
        <w:t>Северо-Восточное Причерноморье и Закавказье в эпоху средневековья. IV–XIII века / Археология. Ответ.редакторы тома Т.И. Макарова и С.А. Плетнёва. М.: Наука, 2003. – 533 с.</w:t>
      </w:r>
    </w:p>
    <w:p w14:paraId="45ED19F6" w14:textId="77777777" w:rsidR="00CD484C" w:rsidRDefault="00CD484C">
      <w:pPr>
        <w:ind w:firstLine="397"/>
        <w:jc w:val="both"/>
        <w:rPr>
          <w:sz w:val="20"/>
          <w:szCs w:val="16"/>
        </w:rPr>
      </w:pPr>
      <w:r>
        <w:rPr>
          <w:i/>
          <w:iCs/>
          <w:sz w:val="20"/>
          <w:szCs w:val="16"/>
        </w:rPr>
        <w:t>Кудрявцев А.А.</w:t>
      </w:r>
      <w:r>
        <w:rPr>
          <w:sz w:val="20"/>
          <w:szCs w:val="16"/>
        </w:rPr>
        <w:t xml:space="preserve"> Пути развития северокавказского города. (По материалам Дербента домонгольской поры). Ставрополь: Изд-во Старопольского ун-та, 2003. – 351 с.</w:t>
      </w:r>
    </w:p>
    <w:p w14:paraId="3409BFD8" w14:textId="77777777" w:rsidR="00CD484C" w:rsidRDefault="00CD484C">
      <w:pPr>
        <w:ind w:firstLine="397"/>
        <w:jc w:val="both"/>
        <w:rPr>
          <w:sz w:val="20"/>
          <w:szCs w:val="16"/>
        </w:rPr>
      </w:pPr>
      <w:r>
        <w:rPr>
          <w:i/>
          <w:iCs/>
          <w:sz w:val="20"/>
          <w:szCs w:val="16"/>
        </w:rPr>
        <w:t>Кузьмин С.Л.</w:t>
      </w:r>
      <w:r>
        <w:rPr>
          <w:sz w:val="20"/>
          <w:szCs w:val="16"/>
        </w:rPr>
        <w:t xml:space="preserve"> Стратиграфия и некоторые проблемы истории Староладожcкого поселения VIII–X  вв. // Stratum plus. 2000. – № 5. – С. 50–69.</w:t>
      </w:r>
    </w:p>
    <w:p w14:paraId="75119443" w14:textId="77777777" w:rsidR="00CD484C" w:rsidRDefault="00CD484C">
      <w:pPr>
        <w:ind w:firstLine="397"/>
        <w:jc w:val="both"/>
        <w:rPr>
          <w:sz w:val="20"/>
          <w:szCs w:val="16"/>
        </w:rPr>
      </w:pPr>
      <w:r>
        <w:rPr>
          <w:i/>
          <w:iCs/>
          <w:sz w:val="20"/>
          <w:szCs w:val="16"/>
        </w:rPr>
        <w:t>Кучкин В.А. «</w:t>
      </w:r>
      <w:r>
        <w:rPr>
          <w:sz w:val="20"/>
          <w:szCs w:val="16"/>
        </w:rPr>
        <w:t>Русская земля» по летописным данным XI – первой трети XIII в. // ДГ 1992–1993 г. М.: Наука, 1995. – С. 74–100.</w:t>
      </w:r>
    </w:p>
    <w:p w14:paraId="3E71C387" w14:textId="77777777" w:rsidR="00CD484C" w:rsidRDefault="00CD484C">
      <w:pPr>
        <w:ind w:firstLine="397"/>
        <w:jc w:val="both"/>
        <w:rPr>
          <w:spacing w:val="-4"/>
          <w:sz w:val="20"/>
          <w:szCs w:val="16"/>
        </w:rPr>
      </w:pPr>
      <w:r>
        <w:rPr>
          <w:i/>
          <w:iCs/>
          <w:spacing w:val="-4"/>
          <w:sz w:val="20"/>
          <w:szCs w:val="16"/>
        </w:rPr>
        <w:t xml:space="preserve">Кучкин В.А. </w:t>
      </w:r>
      <w:r>
        <w:rPr>
          <w:spacing w:val="-4"/>
          <w:sz w:val="20"/>
          <w:szCs w:val="16"/>
        </w:rPr>
        <w:t>Формирование и развитие государственной территории востчных славян в IX–XII вв. //  Отечественная история. 2003. – № 3. – С. 71–80.</w:t>
      </w:r>
    </w:p>
    <w:p w14:paraId="2D66EF2E" w14:textId="77777777" w:rsidR="00CD484C" w:rsidRDefault="00CD484C">
      <w:pPr>
        <w:ind w:firstLine="397"/>
        <w:jc w:val="both"/>
        <w:rPr>
          <w:sz w:val="20"/>
          <w:szCs w:val="16"/>
        </w:rPr>
      </w:pPr>
      <w:r>
        <w:rPr>
          <w:i/>
          <w:iCs/>
          <w:sz w:val="20"/>
          <w:szCs w:val="16"/>
        </w:rPr>
        <w:t>Кызласов И.Л.</w:t>
      </w:r>
      <w:r>
        <w:rPr>
          <w:sz w:val="20"/>
          <w:szCs w:val="16"/>
        </w:rPr>
        <w:t xml:space="preserve"> Рунические письменности евразийских степей. М.: ИФ «ВЛ», 1994. – 327 с.</w:t>
      </w:r>
    </w:p>
    <w:p w14:paraId="60F28915" w14:textId="77777777" w:rsidR="00CD484C" w:rsidRDefault="00CD484C">
      <w:pPr>
        <w:ind w:firstLine="397"/>
        <w:jc w:val="both"/>
        <w:rPr>
          <w:sz w:val="20"/>
          <w:szCs w:val="16"/>
        </w:rPr>
      </w:pPr>
      <w:r>
        <w:rPr>
          <w:i/>
          <w:iCs/>
          <w:sz w:val="20"/>
          <w:szCs w:val="16"/>
        </w:rPr>
        <w:t>Лебедев Г.С.</w:t>
      </w:r>
      <w:r>
        <w:rPr>
          <w:sz w:val="20"/>
          <w:szCs w:val="16"/>
        </w:rPr>
        <w:t xml:space="preserve"> Эпоха викингов в Северной Европе. Историко-археологические очерки. Л.: ЛГУ. 1985. – 287 с.</w:t>
      </w:r>
    </w:p>
    <w:p w14:paraId="5381CE82" w14:textId="77777777" w:rsidR="00CD484C" w:rsidRDefault="00CD484C">
      <w:pPr>
        <w:ind w:firstLine="397"/>
        <w:jc w:val="both"/>
        <w:rPr>
          <w:spacing w:val="-4"/>
          <w:sz w:val="20"/>
          <w:szCs w:val="16"/>
        </w:rPr>
      </w:pPr>
      <w:r>
        <w:rPr>
          <w:i/>
          <w:iCs/>
          <w:spacing w:val="-4"/>
          <w:sz w:val="20"/>
          <w:szCs w:val="16"/>
        </w:rPr>
        <w:t>Лелеков Л.А.</w:t>
      </w:r>
      <w:r>
        <w:rPr>
          <w:spacing w:val="-4"/>
          <w:sz w:val="20"/>
          <w:szCs w:val="16"/>
        </w:rPr>
        <w:t xml:space="preserve"> Иран и Восточная Европа в VII–Х вв. // Искусство и археология Ирана. II Всесоюзная конференция. 1973  г. М., 1976. – С. 118–143. </w:t>
      </w:r>
    </w:p>
    <w:p w14:paraId="35DC2FF0" w14:textId="77777777" w:rsidR="00CD484C" w:rsidRDefault="00CD484C">
      <w:pPr>
        <w:ind w:firstLine="397"/>
        <w:jc w:val="both"/>
        <w:rPr>
          <w:sz w:val="20"/>
          <w:szCs w:val="16"/>
        </w:rPr>
      </w:pPr>
      <w:r>
        <w:rPr>
          <w:i/>
          <w:iCs/>
          <w:sz w:val="20"/>
          <w:szCs w:val="16"/>
        </w:rPr>
        <w:t>Лещенко В.Ю.</w:t>
      </w:r>
      <w:r>
        <w:rPr>
          <w:sz w:val="20"/>
          <w:szCs w:val="16"/>
        </w:rPr>
        <w:t xml:space="preserve"> Использование восточного серебра на Урале // В.П. Даркевич. Художественный металл Востока. М.: Наука, 1976.</w:t>
      </w:r>
    </w:p>
    <w:p w14:paraId="5B27D471" w14:textId="77777777" w:rsidR="00CD484C" w:rsidRDefault="00CD484C">
      <w:pPr>
        <w:ind w:firstLine="397"/>
        <w:jc w:val="both"/>
        <w:rPr>
          <w:sz w:val="20"/>
          <w:szCs w:val="16"/>
        </w:rPr>
      </w:pPr>
      <w:r>
        <w:rPr>
          <w:i/>
          <w:iCs/>
          <w:sz w:val="20"/>
          <w:szCs w:val="16"/>
        </w:rPr>
        <w:t>Лившиц В.А., Луконин В.Г.</w:t>
      </w:r>
      <w:r>
        <w:rPr>
          <w:sz w:val="20"/>
          <w:szCs w:val="16"/>
        </w:rPr>
        <w:t xml:space="preserve"> Среднеперсидские и согдийсике надписи на торевтике // 1964. – № 3. – С. 155–176.</w:t>
      </w:r>
    </w:p>
    <w:p w14:paraId="220DCD1E" w14:textId="77777777" w:rsidR="00CD484C" w:rsidRDefault="00CD484C">
      <w:pPr>
        <w:ind w:firstLine="397"/>
        <w:jc w:val="both"/>
        <w:rPr>
          <w:sz w:val="20"/>
          <w:szCs w:val="16"/>
        </w:rPr>
      </w:pPr>
      <w:r>
        <w:rPr>
          <w:i/>
          <w:iCs/>
          <w:sz w:val="20"/>
          <w:szCs w:val="16"/>
        </w:rPr>
        <w:lastRenderedPageBreak/>
        <w:t xml:space="preserve">Литвинский Б.А. </w:t>
      </w:r>
      <w:r>
        <w:rPr>
          <w:sz w:val="20"/>
          <w:szCs w:val="16"/>
        </w:rPr>
        <w:t>Рецензия на: Encyclopedia Iranica. Ed. By E. Yarshater. Vol. X. N.Y.: Biblioteca Persian Press, 2001. – 872 p. // Восток. 2003. – № 1. – С. 190–194.</w:t>
      </w:r>
    </w:p>
    <w:p w14:paraId="0682B81E" w14:textId="33B7417C" w:rsidR="00CD484C" w:rsidRDefault="00395416">
      <w:pPr>
        <w:ind w:firstLine="397"/>
        <w:jc w:val="both"/>
        <w:rPr>
          <w:sz w:val="20"/>
          <w:szCs w:val="16"/>
        </w:rPr>
      </w:pPr>
      <w:r>
        <w:rPr>
          <w:i/>
          <w:iCs/>
          <w:noProof/>
          <w:sz w:val="20"/>
          <w:szCs w:val="16"/>
        </w:rPr>
        <mc:AlternateContent>
          <mc:Choice Requires="wps">
            <w:drawing>
              <wp:anchor distT="0" distB="0" distL="114300" distR="114300" simplePos="0" relativeHeight="251689472" behindDoc="0" locked="1" layoutInCell="1" allowOverlap="1" wp14:anchorId="28EF35D7" wp14:editId="5489560E">
                <wp:simplePos x="0" y="0"/>
                <wp:positionH relativeFrom="column">
                  <wp:posOffset>0</wp:posOffset>
                </wp:positionH>
                <wp:positionV relativeFrom="paragraph">
                  <wp:posOffset>-252730</wp:posOffset>
                </wp:positionV>
                <wp:extent cx="4095750" cy="186690"/>
                <wp:effectExtent l="0" t="1905" r="3810" b="1905"/>
                <wp:wrapNone/>
                <wp:docPr id="1646018084"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C1CA7"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6474022A"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F35D7" id="Text Box 251" o:spid="_x0000_s1094" type="#_x0000_t202" style="position:absolute;left:0;text-align:left;margin-left:0;margin-top:-19.9pt;width:322.5pt;height:14.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CmnZ8t7wEAAMIDAAAOAAAAAAAAAAAAAAAAAC4CAABkcnMvZTJv&#10;RG9jLnhtbFBLAQItABQABgAIAAAAIQCnTgMH3gAAAAgBAAAPAAAAAAAAAAAAAAAAAEkEAABkcnMv&#10;ZG93bnJldi54bWxQSwUGAAAAAAQABADzAAAAVAUAAAAA&#10;" stroked="f">
                <v:textbox inset="0,0,0,0">
                  <w:txbxContent>
                    <w:p w14:paraId="4FCC1CA7"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6474022A" w14:textId="77777777" w:rsidR="00AE2133" w:rsidRDefault="00AE2133">
                      <w:pPr>
                        <w:rPr>
                          <w:b/>
                          <w:bCs/>
                          <w:sz w:val="2"/>
                          <w:u w:val="single"/>
                        </w:rPr>
                      </w:pPr>
                    </w:p>
                  </w:txbxContent>
                </v:textbox>
                <w10:anchorlock/>
              </v:shape>
            </w:pict>
          </mc:Fallback>
        </mc:AlternateContent>
      </w:r>
      <w:r w:rsidR="00CD484C">
        <w:rPr>
          <w:i/>
          <w:iCs/>
          <w:sz w:val="20"/>
          <w:szCs w:val="16"/>
        </w:rPr>
        <w:t>Лихачев А.Ф.</w:t>
      </w:r>
      <w:r w:rsidR="00CD484C">
        <w:rPr>
          <w:sz w:val="20"/>
          <w:szCs w:val="16"/>
        </w:rPr>
        <w:t xml:space="preserve"> Чистопольский клад второй половины Х века, открытый в 1885 году // Записки Восточного отделения Русского археологического общества. Т.II. Вып.1. СПб. 1887. – С. 33–61. /Отд.отт./.</w:t>
      </w:r>
    </w:p>
    <w:p w14:paraId="5FDDFD8F" w14:textId="77777777" w:rsidR="00CD484C" w:rsidRDefault="00CD484C">
      <w:pPr>
        <w:ind w:firstLine="397"/>
        <w:jc w:val="both"/>
        <w:rPr>
          <w:sz w:val="20"/>
          <w:szCs w:val="16"/>
        </w:rPr>
      </w:pPr>
      <w:r>
        <w:rPr>
          <w:i/>
          <w:iCs/>
          <w:sz w:val="20"/>
          <w:szCs w:val="16"/>
        </w:rPr>
        <w:t>Лунина С.Б.</w:t>
      </w:r>
      <w:r>
        <w:rPr>
          <w:sz w:val="20"/>
          <w:szCs w:val="16"/>
        </w:rPr>
        <w:t xml:space="preserve"> Культурные и торговые связи средневековых городов и поселений долины Кашкадарьи с сопредельными территориями // Культурные связи народов Средней Азии и Кавказа. Древность и средневековье. М.: Наука. “ВЛ”, 1991. – С. 101–107.</w:t>
      </w:r>
    </w:p>
    <w:p w14:paraId="62554CA9" w14:textId="77777777" w:rsidR="00CD484C" w:rsidRDefault="00CD484C">
      <w:pPr>
        <w:ind w:firstLine="397"/>
        <w:jc w:val="both"/>
        <w:rPr>
          <w:sz w:val="20"/>
          <w:szCs w:val="16"/>
        </w:rPr>
      </w:pPr>
      <w:r>
        <w:rPr>
          <w:i/>
          <w:iCs/>
          <w:sz w:val="20"/>
          <w:szCs w:val="16"/>
        </w:rPr>
        <w:t>Макаров Н.А.</w:t>
      </w:r>
      <w:r>
        <w:rPr>
          <w:sz w:val="20"/>
          <w:szCs w:val="16"/>
        </w:rPr>
        <w:t xml:space="preserve"> Колонизация северных окраин Древней Руси  в Х1-ХШ вв. М.: Серпантин,  1997. – 388 с.</w:t>
      </w:r>
    </w:p>
    <w:p w14:paraId="7D6AD6F1" w14:textId="77777777" w:rsidR="00CD484C" w:rsidRDefault="00CD484C">
      <w:pPr>
        <w:ind w:firstLine="397"/>
        <w:jc w:val="both"/>
        <w:rPr>
          <w:sz w:val="20"/>
          <w:szCs w:val="16"/>
        </w:rPr>
      </w:pPr>
      <w:r>
        <w:rPr>
          <w:i/>
          <w:iCs/>
          <w:sz w:val="20"/>
          <w:szCs w:val="16"/>
        </w:rPr>
        <w:t xml:space="preserve">Марков А.К. </w:t>
      </w:r>
      <w:r>
        <w:rPr>
          <w:sz w:val="20"/>
          <w:szCs w:val="16"/>
        </w:rPr>
        <w:t>О кладе куфических монет, найденном в селе Крещенный баран Спасского уезда Казанской губернии. СПб, 1908. – 14 с.</w:t>
      </w:r>
    </w:p>
    <w:p w14:paraId="06C4DCCE" w14:textId="77777777" w:rsidR="00CD484C" w:rsidRDefault="00CD484C">
      <w:pPr>
        <w:ind w:firstLine="397"/>
        <w:jc w:val="both"/>
        <w:rPr>
          <w:sz w:val="20"/>
          <w:szCs w:val="16"/>
        </w:rPr>
      </w:pPr>
      <w:r>
        <w:rPr>
          <w:i/>
          <w:iCs/>
          <w:sz w:val="20"/>
          <w:szCs w:val="16"/>
        </w:rPr>
        <w:t>Марков А.К.</w:t>
      </w:r>
      <w:r>
        <w:rPr>
          <w:sz w:val="20"/>
          <w:szCs w:val="16"/>
        </w:rPr>
        <w:t xml:space="preserve"> Топография восточных монет (сасанидских и куфических). СПб, 1910. – 144 с. </w:t>
      </w:r>
    </w:p>
    <w:p w14:paraId="49578B0D" w14:textId="77777777" w:rsidR="00CD484C" w:rsidRDefault="00CD484C">
      <w:pPr>
        <w:ind w:firstLine="397"/>
        <w:jc w:val="both"/>
        <w:rPr>
          <w:sz w:val="20"/>
          <w:szCs w:val="16"/>
        </w:rPr>
      </w:pPr>
      <w:r>
        <w:rPr>
          <w:i/>
          <w:iCs/>
          <w:sz w:val="20"/>
          <w:szCs w:val="16"/>
        </w:rPr>
        <w:t>Маршак Б.И., Крикис Я.К.</w:t>
      </w:r>
      <w:r>
        <w:rPr>
          <w:sz w:val="20"/>
          <w:szCs w:val="16"/>
        </w:rPr>
        <w:t xml:space="preserve"> Чилекские чаши // ТГЭ. Т.10. Л., 1969. – С. 55–80.</w:t>
      </w:r>
    </w:p>
    <w:p w14:paraId="3E7E3EC0" w14:textId="77777777" w:rsidR="00CD484C" w:rsidRDefault="00CD484C">
      <w:pPr>
        <w:ind w:firstLine="397"/>
        <w:jc w:val="both"/>
        <w:rPr>
          <w:sz w:val="20"/>
          <w:szCs w:val="16"/>
        </w:rPr>
      </w:pPr>
      <w:r>
        <w:rPr>
          <w:i/>
          <w:iCs/>
          <w:sz w:val="20"/>
          <w:szCs w:val="16"/>
        </w:rPr>
        <w:t xml:space="preserve">Массон В.М. </w:t>
      </w:r>
      <w:r>
        <w:rPr>
          <w:sz w:val="20"/>
          <w:szCs w:val="16"/>
        </w:rPr>
        <w:t>Значение саманидского государства для политичекской и культурной истории Центральной Азии // 1100-летие образования государства Саманидов. ММК. СПб, 1999. – С. 45–51.</w:t>
      </w:r>
    </w:p>
    <w:p w14:paraId="0C3A1B1A" w14:textId="77777777" w:rsidR="00CD484C" w:rsidRDefault="00CD484C">
      <w:pPr>
        <w:ind w:firstLine="397"/>
        <w:jc w:val="both"/>
        <w:rPr>
          <w:sz w:val="20"/>
          <w:szCs w:val="16"/>
        </w:rPr>
      </w:pPr>
      <w:r>
        <w:rPr>
          <w:i/>
          <w:iCs/>
          <w:sz w:val="20"/>
          <w:szCs w:val="16"/>
        </w:rPr>
        <w:t>Массон М.Е.</w:t>
      </w:r>
      <w:r>
        <w:rPr>
          <w:sz w:val="20"/>
          <w:szCs w:val="16"/>
        </w:rPr>
        <w:t xml:space="preserve"> Монетные находки в Средней Азии в 1917–1927 гг. // Изв.Средазкомстариса. Вып.3. 1928.</w:t>
      </w:r>
    </w:p>
    <w:p w14:paraId="2C2E75A2" w14:textId="77777777" w:rsidR="00CD484C" w:rsidRDefault="00CD484C">
      <w:pPr>
        <w:ind w:firstLine="397"/>
        <w:jc w:val="both"/>
        <w:rPr>
          <w:sz w:val="20"/>
          <w:szCs w:val="16"/>
        </w:rPr>
      </w:pPr>
      <w:r>
        <w:rPr>
          <w:i/>
          <w:iCs/>
          <w:sz w:val="20"/>
          <w:szCs w:val="16"/>
        </w:rPr>
        <w:t>Массон М.Е.</w:t>
      </w:r>
      <w:r>
        <w:rPr>
          <w:sz w:val="20"/>
          <w:szCs w:val="16"/>
        </w:rPr>
        <w:t xml:space="preserve"> Распространение монетных находок чекана династии Сасанидов на территории советских республик Средней Азии // История Иранского государства и культуры. М., 1971.</w:t>
      </w:r>
    </w:p>
    <w:p w14:paraId="0D63A2BE" w14:textId="77777777" w:rsidR="00CD484C" w:rsidRDefault="00CD484C">
      <w:pPr>
        <w:ind w:firstLine="397"/>
        <w:jc w:val="both"/>
        <w:rPr>
          <w:sz w:val="20"/>
          <w:szCs w:val="16"/>
        </w:rPr>
      </w:pPr>
      <w:r>
        <w:rPr>
          <w:i/>
          <w:iCs/>
          <w:sz w:val="20"/>
          <w:szCs w:val="16"/>
        </w:rPr>
        <w:t>Массон М.Е.</w:t>
      </w:r>
      <w:r>
        <w:rPr>
          <w:sz w:val="20"/>
          <w:szCs w:val="16"/>
        </w:rPr>
        <w:t xml:space="preserve"> Средневековые торговые пути из Мерва в Хорезм и Маверанахр в Х в. (в пределах Туркменской ССР) \\ Ашхабад: Туркменистан, 1966. – 287 с. (Тр. ЮТАКЭ. Т.13).</w:t>
      </w:r>
    </w:p>
    <w:p w14:paraId="4267132A" w14:textId="77777777" w:rsidR="00CD484C" w:rsidRDefault="00CD484C">
      <w:pPr>
        <w:ind w:firstLine="397"/>
        <w:jc w:val="both"/>
        <w:rPr>
          <w:sz w:val="20"/>
          <w:szCs w:val="16"/>
        </w:rPr>
      </w:pPr>
      <w:r>
        <w:rPr>
          <w:i/>
          <w:iCs/>
          <w:sz w:val="20"/>
          <w:szCs w:val="16"/>
        </w:rPr>
        <w:t>Мачинский Д.А.</w:t>
      </w:r>
      <w:r>
        <w:rPr>
          <w:sz w:val="20"/>
          <w:szCs w:val="16"/>
        </w:rPr>
        <w:t xml:space="preserve"> Эпоха викингов в «Скандинавском Средиземноморье» и «русско-варяжский период» («austvergir») // Чтения памяти Анны Мачинской. Вып. 4. СПб, 1998. – С. 130–139.  </w:t>
      </w:r>
    </w:p>
    <w:p w14:paraId="0756F852" w14:textId="77777777" w:rsidR="00CD484C" w:rsidRDefault="00CD484C">
      <w:pPr>
        <w:ind w:firstLine="397"/>
        <w:jc w:val="both"/>
        <w:rPr>
          <w:sz w:val="20"/>
          <w:szCs w:val="16"/>
        </w:rPr>
      </w:pPr>
      <w:r>
        <w:rPr>
          <w:i/>
          <w:iCs/>
          <w:sz w:val="20"/>
          <w:szCs w:val="16"/>
        </w:rPr>
        <w:t>Мельникова Е.А.</w:t>
      </w:r>
      <w:r>
        <w:rPr>
          <w:sz w:val="20"/>
          <w:szCs w:val="16"/>
        </w:rPr>
        <w:t xml:space="preserve"> Граффити на восточных монетах из собраний Украины //   ДГ 1994 год. М.: «Археографич.центр», 1996. – С. 248–284.</w:t>
      </w:r>
    </w:p>
    <w:p w14:paraId="2E810EE6" w14:textId="77777777" w:rsidR="00CD484C" w:rsidRDefault="00CD484C">
      <w:pPr>
        <w:ind w:firstLine="397"/>
        <w:jc w:val="both"/>
        <w:rPr>
          <w:sz w:val="20"/>
          <w:szCs w:val="16"/>
        </w:rPr>
      </w:pPr>
      <w:r>
        <w:rPr>
          <w:i/>
          <w:iCs/>
          <w:sz w:val="20"/>
          <w:szCs w:val="16"/>
        </w:rPr>
        <w:t>Мельникова Е.А.</w:t>
      </w:r>
      <w:r>
        <w:rPr>
          <w:sz w:val="20"/>
          <w:szCs w:val="16"/>
        </w:rPr>
        <w:t xml:space="preserve"> Образ мира. Географические представления в Западной и Северной Европе V–XIV вв. М.: Янус-К, 1998. – 255 с.</w:t>
      </w:r>
    </w:p>
    <w:p w14:paraId="28254E5F" w14:textId="77777777" w:rsidR="00CD484C" w:rsidRDefault="00CD484C">
      <w:pPr>
        <w:ind w:firstLine="397"/>
        <w:jc w:val="both"/>
        <w:rPr>
          <w:sz w:val="20"/>
          <w:szCs w:val="16"/>
        </w:rPr>
      </w:pPr>
      <w:r>
        <w:rPr>
          <w:i/>
          <w:iCs/>
          <w:sz w:val="20"/>
          <w:szCs w:val="16"/>
        </w:rPr>
        <w:t>Мельникова Е.А.</w:t>
      </w:r>
      <w:r>
        <w:rPr>
          <w:sz w:val="20"/>
          <w:szCs w:val="16"/>
        </w:rPr>
        <w:t xml:space="preserve"> Скандинавские рунические надписи. Новые находки и интерпретации. М.: Издат.фирма «Восточная литература», 2001. – 496 с.</w:t>
      </w:r>
    </w:p>
    <w:p w14:paraId="3A3C4A8F" w14:textId="77777777" w:rsidR="00CD484C" w:rsidRDefault="00CD484C">
      <w:pPr>
        <w:ind w:firstLine="397"/>
        <w:jc w:val="both"/>
        <w:rPr>
          <w:sz w:val="20"/>
          <w:szCs w:val="16"/>
        </w:rPr>
      </w:pPr>
      <w:r>
        <w:rPr>
          <w:i/>
          <w:iCs/>
          <w:sz w:val="20"/>
          <w:szCs w:val="16"/>
        </w:rPr>
        <w:t>Мец А.</w:t>
      </w:r>
      <w:r>
        <w:rPr>
          <w:sz w:val="20"/>
          <w:szCs w:val="16"/>
        </w:rPr>
        <w:t xml:space="preserve"> Мусульманский ренессанс. М.: ВЛ, 1973. – 473 с. /Mez A. Die renissance des islams. Heildeberg, 1922/.</w:t>
      </w:r>
    </w:p>
    <w:p w14:paraId="360524B2" w14:textId="77777777" w:rsidR="00CD484C" w:rsidRDefault="00CD484C">
      <w:pPr>
        <w:ind w:firstLine="397"/>
        <w:jc w:val="both"/>
        <w:rPr>
          <w:sz w:val="20"/>
          <w:szCs w:val="16"/>
        </w:rPr>
      </w:pPr>
      <w:r>
        <w:rPr>
          <w:i/>
          <w:iCs/>
          <w:sz w:val="20"/>
          <w:szCs w:val="16"/>
        </w:rPr>
        <w:lastRenderedPageBreak/>
        <w:t>Микульский Д.В.</w:t>
      </w:r>
      <w:r>
        <w:rPr>
          <w:sz w:val="20"/>
          <w:szCs w:val="16"/>
        </w:rPr>
        <w:t xml:space="preserve"> [Составление, перевод с арабского, примечания]. Абу-л-Хасан ‘Али ибн ал-Хусейн ал Мас’уди. «Золотые копи и россыри самоцветов» /История Аббасидской державы/. М.: Наталис, 2002. – 800 с.</w:t>
      </w:r>
    </w:p>
    <w:p w14:paraId="7E5D84D8" w14:textId="77777777" w:rsidR="00CD484C" w:rsidRDefault="00CD484C">
      <w:pPr>
        <w:ind w:firstLine="397"/>
        <w:jc w:val="both"/>
        <w:rPr>
          <w:spacing w:val="-2"/>
          <w:sz w:val="20"/>
          <w:szCs w:val="16"/>
        </w:rPr>
      </w:pPr>
      <w:r>
        <w:rPr>
          <w:i/>
          <w:iCs/>
          <w:spacing w:val="-2"/>
          <w:sz w:val="20"/>
          <w:szCs w:val="16"/>
        </w:rPr>
        <w:t>Минорский В.Ф.</w:t>
      </w:r>
      <w:r>
        <w:rPr>
          <w:spacing w:val="-2"/>
          <w:sz w:val="20"/>
          <w:szCs w:val="16"/>
        </w:rPr>
        <w:t xml:space="preserve"> История Ширвана и Дербента М.: “ВЛ”, 1963. – 266 с.</w:t>
      </w:r>
    </w:p>
    <w:p w14:paraId="64BE5DE9" w14:textId="77777777" w:rsidR="00CD484C" w:rsidRDefault="00CD484C">
      <w:pPr>
        <w:ind w:firstLine="397"/>
        <w:jc w:val="both"/>
        <w:rPr>
          <w:sz w:val="20"/>
          <w:szCs w:val="16"/>
        </w:rPr>
      </w:pPr>
      <w:r>
        <w:rPr>
          <w:i/>
          <w:iCs/>
          <w:sz w:val="20"/>
          <w:szCs w:val="16"/>
        </w:rPr>
        <w:t>Михалевский Ф.А.</w:t>
      </w:r>
      <w:r>
        <w:rPr>
          <w:sz w:val="20"/>
          <w:szCs w:val="16"/>
        </w:rPr>
        <w:t xml:space="preserve"> Очерки истории денег и денежного обращения. Т.1. Деньги в феодальном хозяйстве. М.: Госфиниздат, 1948. – 264 с.</w:t>
      </w:r>
    </w:p>
    <w:p w14:paraId="76258ED4" w14:textId="77777777" w:rsidR="00CD484C" w:rsidRDefault="00CD484C">
      <w:pPr>
        <w:ind w:firstLine="397"/>
        <w:jc w:val="both"/>
        <w:rPr>
          <w:sz w:val="20"/>
          <w:szCs w:val="16"/>
        </w:rPr>
      </w:pPr>
      <w:r>
        <w:rPr>
          <w:i/>
          <w:iCs/>
          <w:sz w:val="20"/>
          <w:szCs w:val="16"/>
        </w:rPr>
        <w:t>Мишин Д.Е.</w:t>
      </w:r>
      <w:r>
        <w:rPr>
          <w:sz w:val="20"/>
          <w:szCs w:val="16"/>
        </w:rPr>
        <w:t xml:space="preserve"> Правители славян в описании ал-Масуди // Арабский мир в конце XX в. М.: ИВ РАН, 1996. – С. 69–77.</w:t>
      </w:r>
    </w:p>
    <w:p w14:paraId="19E55D65" w14:textId="77777777" w:rsidR="00CD484C" w:rsidRDefault="00CD484C">
      <w:pPr>
        <w:ind w:firstLine="397"/>
        <w:jc w:val="both"/>
        <w:rPr>
          <w:sz w:val="20"/>
          <w:szCs w:val="16"/>
        </w:rPr>
      </w:pPr>
      <w:r>
        <w:rPr>
          <w:i/>
          <w:iCs/>
          <w:sz w:val="20"/>
          <w:szCs w:val="16"/>
        </w:rPr>
        <w:t>Мишин Д.Е.</w:t>
      </w:r>
      <w:r>
        <w:rPr>
          <w:sz w:val="20"/>
          <w:szCs w:val="16"/>
        </w:rPr>
        <w:t xml:space="preserve"> Сакалиба (славяне) в исламском мире в раннее средневековье. М.: ИВ РАН – «Крафт+», 2002. – 365 с.</w:t>
      </w:r>
    </w:p>
    <w:p w14:paraId="0F3CA145" w14:textId="77777777" w:rsidR="00CD484C" w:rsidRDefault="00CD484C">
      <w:pPr>
        <w:ind w:firstLine="397"/>
        <w:jc w:val="both"/>
        <w:rPr>
          <w:sz w:val="20"/>
          <w:szCs w:val="16"/>
        </w:rPr>
      </w:pPr>
      <w:r>
        <w:rPr>
          <w:i/>
          <w:iCs/>
          <w:sz w:val="20"/>
          <w:szCs w:val="16"/>
        </w:rPr>
        <w:t xml:space="preserve">Мокерова Е.Ю. </w:t>
      </w:r>
      <w:r>
        <w:rPr>
          <w:sz w:val="20"/>
          <w:szCs w:val="16"/>
        </w:rPr>
        <w:t>Клады и находки монет VIII–ХVП вв. на территории Вятского края. (Хронология и топография) // МНА «Монета». Вып. 3. 1995. – С. 34–63.</w:t>
      </w:r>
    </w:p>
    <w:p w14:paraId="240382AD" w14:textId="77777777" w:rsidR="00CD484C" w:rsidRDefault="00CD484C">
      <w:pPr>
        <w:ind w:firstLine="397"/>
        <w:jc w:val="both"/>
        <w:rPr>
          <w:sz w:val="20"/>
          <w:szCs w:val="16"/>
        </w:rPr>
      </w:pPr>
      <w:r>
        <w:rPr>
          <w:i/>
          <w:iCs/>
          <w:sz w:val="20"/>
          <w:szCs w:val="16"/>
        </w:rPr>
        <w:t xml:space="preserve">Молчанов А.А. </w:t>
      </w:r>
      <w:r>
        <w:rPr>
          <w:sz w:val="20"/>
          <w:szCs w:val="16"/>
        </w:rPr>
        <w:t>О монетном чекане Волжской Булгарии конца Х в. (Дирхем Абд-ар-Рахмана ибн Мумина 387 г.х.) // Шестая ВНК. СПб, 1998. – С. 62–64.</w:t>
      </w:r>
    </w:p>
    <w:p w14:paraId="35B8D993" w14:textId="77777777" w:rsidR="00CD484C" w:rsidRDefault="00CD484C">
      <w:pPr>
        <w:ind w:firstLine="397"/>
        <w:jc w:val="both"/>
        <w:rPr>
          <w:sz w:val="20"/>
          <w:szCs w:val="16"/>
        </w:rPr>
      </w:pPr>
      <w:r>
        <w:rPr>
          <w:i/>
          <w:iCs/>
          <w:sz w:val="20"/>
          <w:szCs w:val="16"/>
        </w:rPr>
        <w:t>Молчанов А.А.</w:t>
      </w:r>
      <w:r>
        <w:rPr>
          <w:sz w:val="20"/>
          <w:szCs w:val="16"/>
        </w:rPr>
        <w:t xml:space="preserve"> Дирхем Тифлиского эмира Джафара ибн Мансура // Девятая ВНК. Великий Новгород: ГЭ, 2001. – С. 58–60.</w:t>
      </w:r>
    </w:p>
    <w:p w14:paraId="0F7FB51F" w14:textId="77777777" w:rsidR="00CD484C" w:rsidRDefault="00CD484C">
      <w:pPr>
        <w:ind w:firstLine="397"/>
        <w:jc w:val="both"/>
        <w:rPr>
          <w:sz w:val="20"/>
          <w:szCs w:val="16"/>
        </w:rPr>
      </w:pPr>
      <w:r>
        <w:rPr>
          <w:i/>
          <w:iCs/>
          <w:sz w:val="20"/>
          <w:szCs w:val="16"/>
        </w:rPr>
        <w:t xml:space="preserve">Москаленко А.Н. </w:t>
      </w:r>
      <w:r>
        <w:rPr>
          <w:sz w:val="20"/>
          <w:szCs w:val="16"/>
        </w:rPr>
        <w:t>Городище Титчиха. Воронеж: Изд-во Воронеж.ун-та, 1965. – 360 с.</w:t>
      </w:r>
    </w:p>
    <w:p w14:paraId="31541C23" w14:textId="77777777" w:rsidR="00CD484C" w:rsidRDefault="00CD484C">
      <w:pPr>
        <w:ind w:firstLine="397"/>
        <w:jc w:val="both"/>
        <w:rPr>
          <w:sz w:val="20"/>
          <w:szCs w:val="16"/>
        </w:rPr>
      </w:pPr>
      <w:r>
        <w:rPr>
          <w:i/>
          <w:iCs/>
          <w:sz w:val="20"/>
          <w:szCs w:val="16"/>
        </w:rPr>
        <w:t>Моця А.П., Халиков А.Х.</w:t>
      </w:r>
      <w:r>
        <w:rPr>
          <w:sz w:val="20"/>
          <w:szCs w:val="16"/>
        </w:rPr>
        <w:t xml:space="preserve"> Булгар – Киев. Пути – связи – судьбы. Киев: Б.и., 1997. – 192 с. </w:t>
      </w:r>
    </w:p>
    <w:p w14:paraId="02C83533" w14:textId="77777777" w:rsidR="00CD484C" w:rsidRDefault="00CD484C">
      <w:pPr>
        <w:ind w:firstLine="397"/>
        <w:jc w:val="both"/>
        <w:rPr>
          <w:sz w:val="20"/>
          <w:szCs w:val="16"/>
        </w:rPr>
      </w:pPr>
      <w:r>
        <w:rPr>
          <w:i/>
          <w:iCs/>
          <w:sz w:val="20"/>
          <w:szCs w:val="16"/>
        </w:rPr>
        <w:t>Мунчаев Р.М.</w:t>
      </w:r>
      <w:r>
        <w:rPr>
          <w:sz w:val="20"/>
          <w:szCs w:val="16"/>
        </w:rPr>
        <w:t xml:space="preserve"> Основные итоги и перспективы историко-археологического изучения Дагестана / Материалы научной сессии по истории народов Дагестана. Махачкала: Б.и., 1954. – 30 с. [На правах рукописи].</w:t>
      </w:r>
    </w:p>
    <w:p w14:paraId="55AD87C5" w14:textId="77777777" w:rsidR="00CD484C" w:rsidRDefault="00CD484C">
      <w:pPr>
        <w:ind w:firstLine="397"/>
        <w:jc w:val="both"/>
        <w:rPr>
          <w:sz w:val="20"/>
          <w:szCs w:val="16"/>
        </w:rPr>
      </w:pPr>
      <w:r>
        <w:rPr>
          <w:i/>
          <w:iCs/>
          <w:sz w:val="20"/>
          <w:szCs w:val="16"/>
        </w:rPr>
        <w:t xml:space="preserve">Мухамадиев А.Г. </w:t>
      </w:r>
      <w:r>
        <w:rPr>
          <w:sz w:val="20"/>
          <w:szCs w:val="16"/>
        </w:rPr>
        <w:t>Древние монеты Поволжья. Казань: Татарское кн.изд-во, 1990. – 192 с.</w:t>
      </w:r>
    </w:p>
    <w:p w14:paraId="7D3E6AC7" w14:textId="77777777" w:rsidR="00CD484C" w:rsidRDefault="00CD484C">
      <w:pPr>
        <w:ind w:firstLine="397"/>
        <w:jc w:val="both"/>
        <w:rPr>
          <w:sz w:val="20"/>
          <w:szCs w:val="16"/>
        </w:rPr>
      </w:pPr>
      <w:r>
        <w:rPr>
          <w:i/>
          <w:iCs/>
          <w:sz w:val="20"/>
          <w:szCs w:val="16"/>
        </w:rPr>
        <w:t>Мушегян Х.А.</w:t>
      </w:r>
      <w:r>
        <w:rPr>
          <w:sz w:val="20"/>
          <w:szCs w:val="16"/>
        </w:rPr>
        <w:t xml:space="preserve"> К истории денежного обращения Двина  по монетным находкам // Изв. АН Армянской ССР. Общественные науки. № 11. 1956. – С. 81–97.</w:t>
      </w:r>
    </w:p>
    <w:p w14:paraId="5E935FCF" w14:textId="77777777" w:rsidR="00CD484C" w:rsidRDefault="00CD484C">
      <w:pPr>
        <w:ind w:firstLine="397"/>
        <w:jc w:val="both"/>
        <w:rPr>
          <w:sz w:val="20"/>
          <w:szCs w:val="16"/>
        </w:rPr>
      </w:pPr>
      <w:r>
        <w:rPr>
          <w:i/>
          <w:iCs/>
          <w:sz w:val="20"/>
          <w:szCs w:val="16"/>
        </w:rPr>
        <w:t>Мушегян Х.А.</w:t>
      </w:r>
      <w:r>
        <w:rPr>
          <w:sz w:val="20"/>
          <w:szCs w:val="16"/>
        </w:rPr>
        <w:t xml:space="preserve"> Денежное обращение Двина по нумизматическим данным. Ереван: Изд-во АН Армянской ССР, 1962. 201 с.</w:t>
      </w:r>
    </w:p>
    <w:p w14:paraId="56CF6A6E" w14:textId="77777777" w:rsidR="00CD484C" w:rsidRDefault="00CD484C">
      <w:pPr>
        <w:ind w:firstLine="397"/>
        <w:jc w:val="both"/>
        <w:rPr>
          <w:sz w:val="20"/>
          <w:szCs w:val="16"/>
        </w:rPr>
      </w:pPr>
      <w:r>
        <w:rPr>
          <w:i/>
          <w:iCs/>
          <w:sz w:val="20"/>
          <w:szCs w:val="16"/>
        </w:rPr>
        <w:t>Мюллер-Вилле М.</w:t>
      </w:r>
      <w:r>
        <w:rPr>
          <w:sz w:val="20"/>
          <w:szCs w:val="16"/>
        </w:rPr>
        <w:t xml:space="preserve"> Монеты из Стариграда/Ольденбурга и старого Любека // Великий Новгород в истории средневековой Европы. К 70-летию Валентина Лаврентьевича Янина. М.: Русские словари, 1999. – С. 418–421.</w:t>
      </w:r>
    </w:p>
    <w:p w14:paraId="6E32DCD1" w14:textId="77777777" w:rsidR="00CD484C" w:rsidRDefault="00CD484C">
      <w:pPr>
        <w:ind w:firstLine="397"/>
        <w:jc w:val="both"/>
        <w:rPr>
          <w:sz w:val="20"/>
          <w:szCs w:val="16"/>
        </w:rPr>
      </w:pPr>
      <w:r>
        <w:rPr>
          <w:i/>
          <w:iCs/>
          <w:sz w:val="20"/>
          <w:szCs w:val="16"/>
        </w:rPr>
        <w:t>Назаренко А.В.</w:t>
      </w:r>
      <w:r>
        <w:rPr>
          <w:sz w:val="20"/>
          <w:szCs w:val="16"/>
        </w:rPr>
        <w:t xml:space="preserve"> Древняя Русь на международных путях. Междисциплинарные очерки культурных, торговых, политических связей IX–XII веков. М.: Языки русской культуры, 2001. – 784 с.</w:t>
      </w:r>
    </w:p>
    <w:p w14:paraId="304E3C7B" w14:textId="77777777" w:rsidR="00CD484C" w:rsidRDefault="00CD484C">
      <w:pPr>
        <w:ind w:firstLine="397"/>
        <w:jc w:val="both"/>
        <w:rPr>
          <w:sz w:val="20"/>
          <w:szCs w:val="16"/>
        </w:rPr>
      </w:pPr>
      <w:r>
        <w:rPr>
          <w:i/>
          <w:iCs/>
          <w:sz w:val="20"/>
          <w:szCs w:val="16"/>
        </w:rPr>
        <w:t>Насонов А.Н.</w:t>
      </w:r>
      <w:r>
        <w:rPr>
          <w:sz w:val="20"/>
          <w:szCs w:val="16"/>
        </w:rPr>
        <w:t xml:space="preserve"> «Русская земля» и образование территории Древнерусского государства. М.: Изд-во АН СССР, 1951. – 261 с.</w:t>
      </w:r>
    </w:p>
    <w:p w14:paraId="44730C95" w14:textId="77777777" w:rsidR="00CD484C" w:rsidRDefault="00CD484C">
      <w:pPr>
        <w:ind w:firstLine="397"/>
        <w:jc w:val="both"/>
        <w:rPr>
          <w:sz w:val="20"/>
          <w:szCs w:val="16"/>
        </w:rPr>
      </w:pPr>
      <w:r>
        <w:rPr>
          <w:i/>
          <w:iCs/>
          <w:sz w:val="20"/>
          <w:szCs w:val="16"/>
        </w:rPr>
        <w:t>Низами Гянджеви.</w:t>
      </w:r>
      <w:r>
        <w:rPr>
          <w:sz w:val="20"/>
          <w:szCs w:val="16"/>
        </w:rPr>
        <w:t xml:space="preserve"> Искендер-намэ / Пер. с фарси А.Э. Бертельса и А.К. Арнендса. Баку: Элм, 1983. – 590 с.</w:t>
      </w:r>
    </w:p>
    <w:p w14:paraId="0CB67810" w14:textId="77777777" w:rsidR="00CD484C" w:rsidRDefault="00CD484C">
      <w:pPr>
        <w:ind w:firstLine="397"/>
        <w:jc w:val="both"/>
        <w:rPr>
          <w:sz w:val="20"/>
          <w:szCs w:val="16"/>
        </w:rPr>
      </w:pPr>
      <w:r>
        <w:rPr>
          <w:i/>
          <w:iCs/>
          <w:sz w:val="20"/>
          <w:szCs w:val="16"/>
        </w:rPr>
        <w:lastRenderedPageBreak/>
        <w:t>Никитин А.Б.</w:t>
      </w:r>
      <w:r>
        <w:rPr>
          <w:sz w:val="20"/>
          <w:szCs w:val="16"/>
        </w:rPr>
        <w:t xml:space="preserve"> Клад индийских средневековых  монет из района Серахса // Тр.ГИМ. НС. 8. Вып. 57. М., 1983. – С. 29–30.</w:t>
      </w:r>
    </w:p>
    <w:p w14:paraId="4F28BFAD" w14:textId="4C6AB3EA" w:rsidR="00CD484C" w:rsidRDefault="00395416">
      <w:pPr>
        <w:ind w:firstLine="397"/>
        <w:jc w:val="both"/>
        <w:rPr>
          <w:sz w:val="20"/>
          <w:szCs w:val="16"/>
        </w:rPr>
      </w:pPr>
      <w:r>
        <w:rPr>
          <w:i/>
          <w:iCs/>
          <w:noProof/>
          <w:sz w:val="20"/>
          <w:szCs w:val="16"/>
        </w:rPr>
        <mc:AlternateContent>
          <mc:Choice Requires="wps">
            <w:drawing>
              <wp:anchor distT="0" distB="0" distL="114300" distR="114300" simplePos="0" relativeHeight="251690496" behindDoc="0" locked="1" layoutInCell="1" allowOverlap="1" wp14:anchorId="7BF14CDF" wp14:editId="75C973C1">
                <wp:simplePos x="0" y="0"/>
                <wp:positionH relativeFrom="column">
                  <wp:posOffset>0</wp:posOffset>
                </wp:positionH>
                <wp:positionV relativeFrom="paragraph">
                  <wp:posOffset>-252730</wp:posOffset>
                </wp:positionV>
                <wp:extent cx="4095750" cy="186690"/>
                <wp:effectExtent l="0" t="0" r="3810" b="0"/>
                <wp:wrapNone/>
                <wp:docPr id="1962673614"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797A0"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4860CDE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14CDF" id="Text Box 252" o:spid="_x0000_s1095" type="#_x0000_t202" style="position:absolute;left:0;text-align:left;margin-left:0;margin-top:-19.9pt;width:322.5pt;height:14.7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" stroked="f">
                <v:textbox inset="0,0,0,0">
                  <w:txbxContent>
                    <w:p w14:paraId="715797A0"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4860CDE9" w14:textId="77777777" w:rsidR="00AE2133" w:rsidRDefault="00AE2133">
                      <w:pPr>
                        <w:rPr>
                          <w:b/>
                          <w:bCs/>
                          <w:sz w:val="2"/>
                          <w:u w:val="single"/>
                        </w:rPr>
                      </w:pPr>
                    </w:p>
                  </w:txbxContent>
                </v:textbox>
                <w10:anchorlock/>
              </v:shape>
            </w:pict>
          </mc:Fallback>
        </mc:AlternateContent>
      </w:r>
      <w:r w:rsidR="00CD484C">
        <w:rPr>
          <w:i/>
          <w:iCs/>
          <w:sz w:val="20"/>
          <w:szCs w:val="16"/>
        </w:rPr>
        <w:t>Новосельцев А.П.</w:t>
      </w:r>
      <w:r w:rsidR="00CD484C">
        <w:rPr>
          <w:sz w:val="20"/>
          <w:szCs w:val="16"/>
        </w:rPr>
        <w:t xml:space="preserve"> Хазарское государство и его роль в истории Восточной Европы и Кавказа. М.: Наука, 1990. – 264 с.</w:t>
      </w:r>
    </w:p>
    <w:p w14:paraId="694E1CB9" w14:textId="77777777" w:rsidR="00CD484C" w:rsidRDefault="00CD484C">
      <w:pPr>
        <w:ind w:firstLine="397"/>
        <w:jc w:val="both"/>
        <w:rPr>
          <w:sz w:val="20"/>
          <w:szCs w:val="16"/>
        </w:rPr>
      </w:pPr>
      <w:r>
        <w:rPr>
          <w:i/>
          <w:iCs/>
          <w:sz w:val="20"/>
          <w:szCs w:val="16"/>
        </w:rPr>
        <w:t xml:space="preserve">Носов Е.Н. </w:t>
      </w:r>
      <w:r>
        <w:rPr>
          <w:sz w:val="20"/>
          <w:szCs w:val="16"/>
        </w:rPr>
        <w:t>Нумизматические данные о северной части балтийско-волжского пути конца VIII-Х вв. // ВИД. Т.8. М., 1976. – С. 109–113.</w:t>
      </w:r>
    </w:p>
    <w:p w14:paraId="74B0CCFB" w14:textId="77777777" w:rsidR="00CD484C" w:rsidRDefault="00CD484C">
      <w:pPr>
        <w:ind w:firstLine="397"/>
        <w:jc w:val="both"/>
        <w:rPr>
          <w:sz w:val="20"/>
          <w:szCs w:val="16"/>
        </w:rPr>
      </w:pPr>
      <w:r>
        <w:rPr>
          <w:i/>
          <w:iCs/>
          <w:sz w:val="20"/>
          <w:szCs w:val="16"/>
        </w:rPr>
        <w:t>Носов Е.Н.</w:t>
      </w:r>
      <w:r>
        <w:rPr>
          <w:sz w:val="20"/>
          <w:szCs w:val="16"/>
        </w:rPr>
        <w:t xml:space="preserve"> Первые скандинавы в Северной Руси // Викинги и славяне. Ученые, политики и дипломаты о русско-скандинавских отношениях. СПб. 1998. – C. 5–82. </w:t>
      </w:r>
    </w:p>
    <w:p w14:paraId="3DB4A8FA" w14:textId="77777777" w:rsidR="00CD484C" w:rsidRDefault="00CD484C">
      <w:pPr>
        <w:ind w:firstLine="397"/>
        <w:jc w:val="both"/>
        <w:rPr>
          <w:sz w:val="20"/>
          <w:szCs w:val="16"/>
        </w:rPr>
      </w:pPr>
      <w:r>
        <w:rPr>
          <w:i/>
          <w:iCs/>
          <w:sz w:val="20"/>
          <w:szCs w:val="16"/>
        </w:rPr>
        <w:t>Носов Е.Н.</w:t>
      </w:r>
      <w:r>
        <w:rPr>
          <w:sz w:val="20"/>
          <w:szCs w:val="16"/>
        </w:rPr>
        <w:t xml:space="preserve"> Происхождение первых городов Северной Руси (постановка проблемы, история и археология) // Историч.записки. Вып. 5 (123). М.: Наука, 2002. – С. 5–42.</w:t>
      </w:r>
    </w:p>
    <w:p w14:paraId="56C358F5" w14:textId="77777777" w:rsidR="00CD484C" w:rsidRDefault="00CD484C">
      <w:pPr>
        <w:ind w:firstLine="397"/>
        <w:jc w:val="both"/>
        <w:rPr>
          <w:sz w:val="20"/>
          <w:szCs w:val="16"/>
        </w:rPr>
      </w:pPr>
      <w:r>
        <w:rPr>
          <w:i/>
          <w:iCs/>
          <w:sz w:val="20"/>
          <w:szCs w:val="16"/>
        </w:rPr>
        <w:t>Нунан Т.С., Ковалев Р.К.</w:t>
      </w:r>
      <w:r>
        <w:rPr>
          <w:sz w:val="20"/>
          <w:szCs w:val="16"/>
        </w:rPr>
        <w:t xml:space="preserve"> Неизвестный клад начала IX в. из имения М.А. Оболенского Дмитровского уезда Московской губернии // АВ. № 7. 2000. – С. 206–213.</w:t>
      </w:r>
    </w:p>
    <w:p w14:paraId="1F389C8D" w14:textId="77777777" w:rsidR="00CD484C" w:rsidRDefault="00CD484C">
      <w:pPr>
        <w:ind w:firstLine="397"/>
        <w:jc w:val="both"/>
        <w:rPr>
          <w:spacing w:val="-2"/>
          <w:sz w:val="20"/>
          <w:szCs w:val="16"/>
        </w:rPr>
      </w:pPr>
      <w:r>
        <w:rPr>
          <w:i/>
          <w:iCs/>
          <w:spacing w:val="-2"/>
          <w:sz w:val="20"/>
          <w:szCs w:val="16"/>
        </w:rPr>
        <w:t xml:space="preserve">Нунан Т.С., Ковалев Р.К. </w:t>
      </w:r>
      <w:r>
        <w:rPr>
          <w:spacing w:val="-2"/>
          <w:sz w:val="20"/>
          <w:szCs w:val="16"/>
        </w:rPr>
        <w:t>Большой клад дирхемов ранней эпохи викингов, найденный в 2000 г. в г.Козельске // АВ. 2003. – № 3. – С. 149–161.</w:t>
      </w:r>
    </w:p>
    <w:p w14:paraId="59DA9620" w14:textId="77777777" w:rsidR="00CD484C" w:rsidRDefault="00CD484C">
      <w:pPr>
        <w:ind w:firstLine="397"/>
        <w:jc w:val="both"/>
        <w:rPr>
          <w:sz w:val="20"/>
          <w:szCs w:val="16"/>
        </w:rPr>
      </w:pPr>
      <w:r>
        <w:rPr>
          <w:i/>
          <w:iCs/>
          <w:sz w:val="20"/>
          <w:szCs w:val="16"/>
        </w:rPr>
        <w:t>Пахомов Е.А.</w:t>
      </w:r>
      <w:r>
        <w:rPr>
          <w:sz w:val="20"/>
          <w:szCs w:val="16"/>
        </w:rPr>
        <w:t xml:space="preserve"> Монетные клады Азербайджана и других республик краев и областей Кавказа. Вып. 5. 1954. – 92 с.</w:t>
      </w:r>
    </w:p>
    <w:p w14:paraId="31BE3FB7" w14:textId="77777777" w:rsidR="00CD484C" w:rsidRDefault="00CD484C">
      <w:pPr>
        <w:ind w:firstLine="397"/>
        <w:jc w:val="both"/>
        <w:rPr>
          <w:sz w:val="20"/>
          <w:szCs w:val="16"/>
        </w:rPr>
      </w:pPr>
      <w:r>
        <w:rPr>
          <w:i/>
          <w:iCs/>
          <w:sz w:val="20"/>
          <w:szCs w:val="16"/>
        </w:rPr>
        <w:t>Пахомов Е.А.</w:t>
      </w:r>
      <w:r>
        <w:rPr>
          <w:sz w:val="20"/>
          <w:szCs w:val="16"/>
        </w:rPr>
        <w:t xml:space="preserve"> Монетные клады Азербайджана и других республик, краев и областей Кавказа. Вып. 7. Баку: Изд-во АН АзССР, 1957. – 123 с.</w:t>
      </w:r>
    </w:p>
    <w:p w14:paraId="6A9F0D25" w14:textId="77777777" w:rsidR="00CD484C" w:rsidRDefault="00CD484C">
      <w:pPr>
        <w:ind w:firstLine="397"/>
        <w:jc w:val="both"/>
        <w:rPr>
          <w:sz w:val="20"/>
          <w:szCs w:val="16"/>
        </w:rPr>
      </w:pPr>
      <w:r>
        <w:rPr>
          <w:i/>
          <w:iCs/>
          <w:sz w:val="20"/>
          <w:szCs w:val="16"/>
        </w:rPr>
        <w:t xml:space="preserve">Пахомов Е.А. </w:t>
      </w:r>
      <w:r>
        <w:rPr>
          <w:sz w:val="20"/>
          <w:szCs w:val="16"/>
        </w:rPr>
        <w:t>Монетные клады Азербайджана и других республик краев и областей Кавказа. Вып.9. Баку: Изд-во АН АзССР, 1966. – 124 с.</w:t>
      </w:r>
    </w:p>
    <w:p w14:paraId="72C83116" w14:textId="77777777" w:rsidR="00CD484C" w:rsidRDefault="00CD484C">
      <w:pPr>
        <w:ind w:firstLine="397"/>
        <w:jc w:val="both"/>
        <w:rPr>
          <w:sz w:val="20"/>
          <w:szCs w:val="16"/>
        </w:rPr>
      </w:pPr>
      <w:r>
        <w:rPr>
          <w:i/>
          <w:iCs/>
          <w:sz w:val="20"/>
          <w:szCs w:val="16"/>
        </w:rPr>
        <w:t>Пахомов Е.А.</w:t>
      </w:r>
      <w:r>
        <w:rPr>
          <w:sz w:val="20"/>
          <w:szCs w:val="16"/>
        </w:rPr>
        <w:t xml:space="preserve"> Монеты Грузии. Тбилиси: Мециенереба, 1970. – 352 с.</w:t>
      </w:r>
    </w:p>
    <w:p w14:paraId="0510015F" w14:textId="77777777" w:rsidR="00CD484C" w:rsidRDefault="00CD484C">
      <w:pPr>
        <w:ind w:firstLine="397"/>
        <w:jc w:val="both"/>
        <w:rPr>
          <w:sz w:val="20"/>
          <w:szCs w:val="16"/>
        </w:rPr>
      </w:pPr>
      <w:r>
        <w:rPr>
          <w:i/>
          <w:iCs/>
          <w:sz w:val="20"/>
          <w:szCs w:val="16"/>
        </w:rPr>
        <w:t>Петрухин В.Я.</w:t>
      </w:r>
      <w:r>
        <w:rPr>
          <w:sz w:val="20"/>
          <w:szCs w:val="16"/>
        </w:rPr>
        <w:t xml:space="preserve"> Князь Олег, Хелгу кембриджского документа и русский княжеский род // ДГ 1998 г. М.: ИФ «ВЛ», 2000. – С. 222–229.</w:t>
      </w:r>
    </w:p>
    <w:p w14:paraId="52114E09" w14:textId="77777777" w:rsidR="00CD484C" w:rsidRDefault="00CD484C">
      <w:pPr>
        <w:ind w:firstLine="397"/>
        <w:jc w:val="both"/>
        <w:rPr>
          <w:sz w:val="20"/>
          <w:szCs w:val="16"/>
        </w:rPr>
      </w:pPr>
      <w:r>
        <w:rPr>
          <w:i/>
          <w:iCs/>
          <w:sz w:val="20"/>
          <w:szCs w:val="16"/>
        </w:rPr>
        <w:t xml:space="preserve">Петрухин В.Я. </w:t>
      </w:r>
      <w:r>
        <w:rPr>
          <w:sz w:val="20"/>
          <w:szCs w:val="16"/>
        </w:rPr>
        <w:t>Начало этнокультурной истории Руси IX-XI веков. Смоленск: Русич: М.: Гносис, 1995. – 320 с.</w:t>
      </w:r>
    </w:p>
    <w:p w14:paraId="7CEB95C5" w14:textId="77777777" w:rsidR="00CD484C" w:rsidRDefault="00CD484C">
      <w:pPr>
        <w:ind w:firstLine="397"/>
        <w:jc w:val="both"/>
        <w:rPr>
          <w:sz w:val="20"/>
          <w:szCs w:val="16"/>
        </w:rPr>
      </w:pPr>
      <w:r>
        <w:rPr>
          <w:i/>
          <w:iCs/>
          <w:sz w:val="20"/>
          <w:szCs w:val="16"/>
        </w:rPr>
        <w:t xml:space="preserve">Пиотровский Б.Б. </w:t>
      </w:r>
      <w:r>
        <w:rPr>
          <w:sz w:val="20"/>
          <w:szCs w:val="16"/>
        </w:rPr>
        <w:t>Вади Аллаки – путь к золотым рудникам Нубии. Древнеегипетские наскальные надписи. М.: Наука, 1983. – 184 с.</w:t>
      </w:r>
    </w:p>
    <w:p w14:paraId="74DD92FC" w14:textId="77777777" w:rsidR="00CD484C" w:rsidRDefault="00CD484C">
      <w:pPr>
        <w:ind w:firstLine="397"/>
        <w:jc w:val="both"/>
        <w:rPr>
          <w:sz w:val="20"/>
          <w:szCs w:val="16"/>
        </w:rPr>
      </w:pPr>
      <w:r>
        <w:rPr>
          <w:i/>
          <w:iCs/>
          <w:sz w:val="20"/>
          <w:szCs w:val="16"/>
        </w:rPr>
        <w:t xml:space="preserve">Пиотровский М.Б. </w:t>
      </w:r>
      <w:r>
        <w:rPr>
          <w:sz w:val="20"/>
          <w:szCs w:val="16"/>
        </w:rPr>
        <w:t>Исторические судьбы мусульманского представления о власти // Социально-политические представления о власти в исламе. История и современность. М.: Наука ГРВЛ, 1987. – С. 6–20.</w:t>
      </w:r>
    </w:p>
    <w:p w14:paraId="735CC774" w14:textId="77777777" w:rsidR="00CD484C" w:rsidRDefault="00CD484C">
      <w:pPr>
        <w:ind w:firstLine="397"/>
        <w:jc w:val="both"/>
        <w:rPr>
          <w:sz w:val="20"/>
          <w:szCs w:val="16"/>
        </w:rPr>
      </w:pPr>
      <w:r>
        <w:rPr>
          <w:i/>
          <w:iCs/>
          <w:sz w:val="20"/>
          <w:szCs w:val="16"/>
        </w:rPr>
        <w:t>Плетнёва С.А.</w:t>
      </w:r>
      <w:r>
        <w:rPr>
          <w:sz w:val="20"/>
          <w:szCs w:val="16"/>
        </w:rPr>
        <w:t xml:space="preserve"> Очерки хазарской археологии. М.: Мосты культуры; Иерусалим: Гешарим, 2000. – 239 с.</w:t>
      </w:r>
    </w:p>
    <w:p w14:paraId="495C9B5C" w14:textId="77777777" w:rsidR="00CD484C" w:rsidRDefault="00CD484C">
      <w:pPr>
        <w:ind w:firstLine="397"/>
        <w:jc w:val="both"/>
        <w:rPr>
          <w:sz w:val="20"/>
          <w:szCs w:val="16"/>
        </w:rPr>
      </w:pPr>
      <w:r>
        <w:rPr>
          <w:i/>
          <w:iCs/>
          <w:sz w:val="20"/>
          <w:szCs w:val="16"/>
        </w:rPr>
        <w:t>Полозов И.М.</w:t>
      </w:r>
      <w:r>
        <w:rPr>
          <w:sz w:val="20"/>
          <w:szCs w:val="16"/>
        </w:rPr>
        <w:t xml:space="preserve"> Клады рассказывают. (Топография кладов, найденных на территории Брянской области в 1944–1962 годы). Брянск: Брянский рабочий, 1963. – 21 с.</w:t>
      </w:r>
    </w:p>
    <w:p w14:paraId="00C0F9C2" w14:textId="77777777" w:rsidR="00CD484C" w:rsidRDefault="00CD484C">
      <w:pPr>
        <w:ind w:firstLine="397"/>
        <w:jc w:val="both"/>
        <w:rPr>
          <w:sz w:val="20"/>
          <w:szCs w:val="16"/>
        </w:rPr>
      </w:pPr>
      <w:r>
        <w:rPr>
          <w:i/>
          <w:iCs/>
          <w:sz w:val="20"/>
          <w:szCs w:val="16"/>
        </w:rPr>
        <w:t>Повесть временных лет</w:t>
      </w:r>
      <w:r>
        <w:rPr>
          <w:sz w:val="20"/>
          <w:szCs w:val="16"/>
        </w:rPr>
        <w:t xml:space="preserve"> / Подгот. Д.С. Лихачев; Ред. В.П. Андрианова-Перетц.2-е изд.  СПб: Наука, 1999. – 667 с.</w:t>
      </w:r>
    </w:p>
    <w:p w14:paraId="063A3915" w14:textId="77777777" w:rsidR="00CD484C" w:rsidRDefault="00CD484C">
      <w:pPr>
        <w:ind w:firstLine="397"/>
        <w:jc w:val="both"/>
        <w:rPr>
          <w:sz w:val="20"/>
          <w:szCs w:val="16"/>
        </w:rPr>
      </w:pPr>
      <w:r>
        <w:rPr>
          <w:i/>
          <w:iCs/>
          <w:sz w:val="20"/>
          <w:szCs w:val="16"/>
        </w:rPr>
        <w:t>Потин В.М.</w:t>
      </w:r>
      <w:r>
        <w:rPr>
          <w:sz w:val="20"/>
          <w:szCs w:val="16"/>
        </w:rPr>
        <w:t xml:space="preserve"> Древняя Русь и европейские государства в Х–ХШ вв. Л.: Сов.художник, 1968. – 240 с.</w:t>
      </w:r>
    </w:p>
    <w:p w14:paraId="02AC978D" w14:textId="77777777" w:rsidR="00CD484C" w:rsidRDefault="00CD484C">
      <w:pPr>
        <w:ind w:firstLine="397"/>
        <w:jc w:val="both"/>
        <w:rPr>
          <w:sz w:val="20"/>
          <w:szCs w:val="16"/>
        </w:rPr>
      </w:pPr>
      <w:r>
        <w:rPr>
          <w:i/>
          <w:iCs/>
          <w:sz w:val="20"/>
          <w:szCs w:val="16"/>
        </w:rPr>
        <w:lastRenderedPageBreak/>
        <w:t>Потин В.М.</w:t>
      </w:r>
      <w:r>
        <w:rPr>
          <w:sz w:val="20"/>
          <w:szCs w:val="16"/>
        </w:rPr>
        <w:t xml:space="preserve"> Русско-скандинавские связи по нумизматическим данным (IX–ХП вв. // Исторические связи Скандинавии и России IX–XVII вв.) Л., 1970. – C. 64–80.</w:t>
      </w:r>
    </w:p>
    <w:p w14:paraId="323EAEAF" w14:textId="77777777" w:rsidR="00CD484C" w:rsidRDefault="00CD484C">
      <w:pPr>
        <w:ind w:firstLine="397"/>
        <w:jc w:val="both"/>
        <w:rPr>
          <w:sz w:val="20"/>
          <w:szCs w:val="16"/>
        </w:rPr>
      </w:pPr>
      <w:r>
        <w:rPr>
          <w:i/>
          <w:iCs/>
          <w:sz w:val="20"/>
          <w:szCs w:val="16"/>
        </w:rPr>
        <w:t>Потин В.М.</w:t>
      </w:r>
      <w:r>
        <w:rPr>
          <w:sz w:val="20"/>
          <w:szCs w:val="16"/>
        </w:rPr>
        <w:t xml:space="preserve"> Нумизматическая хронология и дендрохронология (по материалам новгородских раскопок) // ТГЭ. Т. 21. 1981. – С. 78–89.</w:t>
      </w:r>
    </w:p>
    <w:p w14:paraId="29C03B75" w14:textId="77777777" w:rsidR="00CD484C" w:rsidRDefault="00CD484C">
      <w:pPr>
        <w:ind w:firstLine="397"/>
        <w:jc w:val="both"/>
        <w:rPr>
          <w:spacing w:val="-2"/>
          <w:sz w:val="20"/>
          <w:szCs w:val="16"/>
        </w:rPr>
      </w:pPr>
      <w:r>
        <w:rPr>
          <w:i/>
          <w:iCs/>
          <w:spacing w:val="-2"/>
          <w:sz w:val="20"/>
          <w:szCs w:val="16"/>
        </w:rPr>
        <w:t>Потин В.М.</w:t>
      </w:r>
      <w:r>
        <w:rPr>
          <w:spacing w:val="-2"/>
          <w:sz w:val="20"/>
          <w:szCs w:val="16"/>
        </w:rPr>
        <w:t xml:space="preserve"> Введение в нумизматику // ТГЭ. 1986. – Т. 26. – С. 69–164.</w:t>
      </w:r>
    </w:p>
    <w:p w14:paraId="4EB5C248" w14:textId="77777777" w:rsidR="00CD484C" w:rsidRDefault="00CD484C">
      <w:pPr>
        <w:ind w:firstLine="397"/>
        <w:jc w:val="both"/>
        <w:rPr>
          <w:spacing w:val="-2"/>
          <w:sz w:val="20"/>
          <w:szCs w:val="16"/>
        </w:rPr>
      </w:pPr>
      <w:r>
        <w:rPr>
          <w:i/>
          <w:iCs/>
          <w:spacing w:val="-2"/>
          <w:sz w:val="20"/>
          <w:szCs w:val="16"/>
        </w:rPr>
        <w:t>Потин В.М.</w:t>
      </w:r>
      <w:r>
        <w:rPr>
          <w:spacing w:val="-2"/>
          <w:sz w:val="20"/>
          <w:szCs w:val="16"/>
        </w:rPr>
        <w:t xml:space="preserve"> Монеты, клады, коллекции. СПб: Искусство, 1993. – 303 с.</w:t>
      </w:r>
    </w:p>
    <w:p w14:paraId="2DEB28A3" w14:textId="77777777" w:rsidR="00CD484C" w:rsidRDefault="00CD484C">
      <w:pPr>
        <w:ind w:firstLine="397"/>
        <w:jc w:val="both"/>
        <w:rPr>
          <w:sz w:val="20"/>
          <w:szCs w:val="16"/>
        </w:rPr>
      </w:pPr>
      <w:r>
        <w:rPr>
          <w:i/>
          <w:iCs/>
          <w:sz w:val="20"/>
          <w:szCs w:val="16"/>
        </w:rPr>
        <w:t>Пушкина Т.А.</w:t>
      </w:r>
      <w:r>
        <w:rPr>
          <w:sz w:val="20"/>
          <w:szCs w:val="16"/>
        </w:rPr>
        <w:t xml:space="preserve"> Нумизматические материалы из раскопок  Гнездова // Великий Новгород в истории средневековой Европы. К 70-летию Валентина Лаврентьевича Янина. М.: Русские словари, 1999. – С. 405–417.</w:t>
      </w:r>
    </w:p>
    <w:p w14:paraId="3182BEF2" w14:textId="77777777" w:rsidR="00CD484C" w:rsidRDefault="00CD484C">
      <w:pPr>
        <w:ind w:firstLine="397"/>
        <w:jc w:val="both"/>
        <w:rPr>
          <w:sz w:val="20"/>
          <w:szCs w:val="16"/>
        </w:rPr>
      </w:pPr>
      <w:r>
        <w:rPr>
          <w:i/>
          <w:iCs/>
          <w:sz w:val="20"/>
          <w:szCs w:val="16"/>
        </w:rPr>
        <w:t>Распопова В.И.</w:t>
      </w:r>
      <w:r>
        <w:rPr>
          <w:sz w:val="20"/>
          <w:szCs w:val="16"/>
        </w:rPr>
        <w:t xml:space="preserve"> Металлические изделия раннесредневекового Согда. Л.: Наука, 1980.</w:t>
      </w:r>
    </w:p>
    <w:p w14:paraId="7FE4198F" w14:textId="77777777" w:rsidR="00CD484C" w:rsidRDefault="00CD484C">
      <w:pPr>
        <w:ind w:firstLine="397"/>
        <w:jc w:val="both"/>
        <w:rPr>
          <w:spacing w:val="-6"/>
          <w:sz w:val="20"/>
          <w:szCs w:val="16"/>
        </w:rPr>
      </w:pPr>
      <w:r>
        <w:rPr>
          <w:i/>
          <w:iCs/>
          <w:spacing w:val="-6"/>
          <w:sz w:val="20"/>
          <w:szCs w:val="16"/>
        </w:rPr>
        <w:t>Рашид-ад-Дин.</w:t>
      </w:r>
      <w:r>
        <w:rPr>
          <w:spacing w:val="-6"/>
          <w:sz w:val="20"/>
          <w:szCs w:val="16"/>
        </w:rPr>
        <w:t xml:space="preserve"> Сборник летописей. Т. 1. Кн. 1. М.: Ладомир, 2002. – 215 с.</w:t>
      </w:r>
    </w:p>
    <w:p w14:paraId="6CB5865F" w14:textId="77777777" w:rsidR="00CD484C" w:rsidRDefault="00CD484C">
      <w:pPr>
        <w:ind w:firstLine="397"/>
        <w:jc w:val="both"/>
        <w:rPr>
          <w:sz w:val="20"/>
          <w:szCs w:val="16"/>
        </w:rPr>
      </w:pPr>
      <w:r>
        <w:rPr>
          <w:i/>
          <w:iCs/>
          <w:sz w:val="20"/>
          <w:szCs w:val="16"/>
        </w:rPr>
        <w:t>Ртвеладзе Э.В.</w:t>
      </w:r>
      <w:r>
        <w:rPr>
          <w:sz w:val="20"/>
          <w:szCs w:val="16"/>
        </w:rPr>
        <w:t xml:space="preserve"> К истории денежного обращения в Саганийане // ЭВ. Т. 23. – 1985. </w:t>
      </w:r>
    </w:p>
    <w:p w14:paraId="0AF0DB6F" w14:textId="77777777" w:rsidR="00CD484C" w:rsidRDefault="00CD484C">
      <w:pPr>
        <w:ind w:firstLine="397"/>
        <w:jc w:val="both"/>
        <w:rPr>
          <w:sz w:val="20"/>
          <w:szCs w:val="16"/>
        </w:rPr>
      </w:pPr>
      <w:r>
        <w:rPr>
          <w:i/>
          <w:iCs/>
          <w:sz w:val="20"/>
          <w:szCs w:val="16"/>
        </w:rPr>
        <w:t>Ртвеладзе Э.В.</w:t>
      </w:r>
      <w:r>
        <w:rPr>
          <w:sz w:val="20"/>
          <w:szCs w:val="16"/>
        </w:rPr>
        <w:t xml:space="preserve"> Византийские монеты индикции из Средней Азии. Топография находок // Нумизматика Центральной Азии IV. Сб.статей. Ташкент. 1999. – С.22–28.</w:t>
      </w:r>
    </w:p>
    <w:p w14:paraId="551EDA9C" w14:textId="77777777" w:rsidR="00CD484C" w:rsidRDefault="00CD484C">
      <w:pPr>
        <w:ind w:firstLine="397"/>
        <w:jc w:val="both"/>
        <w:rPr>
          <w:sz w:val="20"/>
          <w:szCs w:val="16"/>
        </w:rPr>
      </w:pPr>
      <w:r>
        <w:rPr>
          <w:i/>
          <w:iCs/>
          <w:sz w:val="20"/>
          <w:szCs w:val="16"/>
        </w:rPr>
        <w:t>Рябцевич В.Н.</w:t>
      </w:r>
      <w:r>
        <w:rPr>
          <w:sz w:val="20"/>
          <w:szCs w:val="16"/>
        </w:rPr>
        <w:t xml:space="preserve"> Нумизматика Беларуси. Минск: Полымя, 1995. – 687 с.</w:t>
      </w:r>
    </w:p>
    <w:p w14:paraId="1BB56FBC" w14:textId="77777777" w:rsidR="00CD484C" w:rsidRDefault="00CD484C">
      <w:pPr>
        <w:ind w:firstLine="397"/>
        <w:jc w:val="both"/>
        <w:rPr>
          <w:sz w:val="20"/>
          <w:szCs w:val="16"/>
        </w:rPr>
      </w:pPr>
      <w:r>
        <w:rPr>
          <w:i/>
          <w:iCs/>
          <w:sz w:val="20"/>
          <w:szCs w:val="16"/>
        </w:rPr>
        <w:t>Савельева Э.А.</w:t>
      </w:r>
      <w:r>
        <w:rPr>
          <w:sz w:val="20"/>
          <w:szCs w:val="16"/>
        </w:rPr>
        <w:t xml:space="preserve"> Европейский Северо-Восток в эпоху средневековья. Научный доклад на соискание ученой степени д-ра ист.наук. М., 1995.</w:t>
      </w:r>
    </w:p>
    <w:p w14:paraId="1A8C49B4" w14:textId="77777777" w:rsidR="00CD484C" w:rsidRDefault="00CD484C">
      <w:pPr>
        <w:ind w:firstLine="397"/>
        <w:jc w:val="both"/>
        <w:rPr>
          <w:sz w:val="20"/>
          <w:szCs w:val="16"/>
        </w:rPr>
      </w:pPr>
      <w:r>
        <w:rPr>
          <w:i/>
          <w:iCs/>
          <w:sz w:val="20"/>
          <w:szCs w:val="16"/>
        </w:rPr>
        <w:t>Сахаров А.Н.</w:t>
      </w:r>
      <w:r>
        <w:rPr>
          <w:sz w:val="20"/>
          <w:szCs w:val="16"/>
        </w:rPr>
        <w:t xml:space="preserve"> Дипломатия древней Руси IX - первая половина X в. М.: Мысль, 1980. – 280 с.</w:t>
      </w:r>
    </w:p>
    <w:p w14:paraId="12F44008" w14:textId="77777777" w:rsidR="00CD484C" w:rsidRDefault="00CD484C">
      <w:pPr>
        <w:ind w:firstLine="397"/>
        <w:jc w:val="both"/>
        <w:rPr>
          <w:sz w:val="20"/>
          <w:szCs w:val="16"/>
        </w:rPr>
      </w:pPr>
      <w:r>
        <w:rPr>
          <w:i/>
          <w:iCs/>
          <w:sz w:val="20"/>
          <w:szCs w:val="16"/>
        </w:rPr>
        <w:t>Сахаров А.Н.</w:t>
      </w:r>
      <w:r>
        <w:rPr>
          <w:sz w:val="20"/>
          <w:szCs w:val="16"/>
        </w:rPr>
        <w:t xml:space="preserve"> Дипломатия Святослава. М.: Международные отношения, 1982. – 240 с.</w:t>
      </w:r>
    </w:p>
    <w:p w14:paraId="3F492AE1" w14:textId="77777777" w:rsidR="00CD484C" w:rsidRDefault="00CD484C">
      <w:pPr>
        <w:ind w:firstLine="397"/>
        <w:jc w:val="both"/>
        <w:rPr>
          <w:sz w:val="20"/>
          <w:szCs w:val="16"/>
        </w:rPr>
      </w:pPr>
      <w:r>
        <w:rPr>
          <w:i/>
          <w:iCs/>
          <w:sz w:val="20"/>
          <w:szCs w:val="16"/>
        </w:rPr>
        <w:t>Седов В.В.</w:t>
      </w:r>
      <w:r>
        <w:rPr>
          <w:sz w:val="20"/>
          <w:szCs w:val="16"/>
        </w:rPr>
        <w:t xml:space="preserve"> У истоков восточнославянской государственности. М.: УРСС,  1999. – 145 с.</w:t>
      </w:r>
    </w:p>
    <w:p w14:paraId="74FEC783" w14:textId="77777777" w:rsidR="00CD484C" w:rsidRDefault="00CD484C">
      <w:pPr>
        <w:ind w:firstLine="397"/>
        <w:jc w:val="both"/>
        <w:rPr>
          <w:spacing w:val="-2"/>
          <w:sz w:val="20"/>
          <w:szCs w:val="16"/>
        </w:rPr>
      </w:pPr>
      <w:r>
        <w:rPr>
          <w:i/>
          <w:iCs/>
          <w:spacing w:val="-2"/>
          <w:sz w:val="20"/>
          <w:szCs w:val="16"/>
        </w:rPr>
        <w:t>Седов В.В.</w:t>
      </w:r>
      <w:r>
        <w:rPr>
          <w:spacing w:val="-2"/>
          <w:sz w:val="20"/>
          <w:szCs w:val="16"/>
        </w:rPr>
        <w:t xml:space="preserve"> К этногенезу волжских болгар // РА. 2001. – № 2. – С. 5–15.</w:t>
      </w:r>
    </w:p>
    <w:p w14:paraId="6D38DB42" w14:textId="77777777" w:rsidR="00CD484C" w:rsidRDefault="00CD484C">
      <w:pPr>
        <w:ind w:firstLine="397"/>
        <w:jc w:val="both"/>
        <w:rPr>
          <w:sz w:val="20"/>
          <w:szCs w:val="16"/>
        </w:rPr>
      </w:pPr>
      <w:r>
        <w:rPr>
          <w:i/>
          <w:iCs/>
          <w:sz w:val="20"/>
          <w:szCs w:val="16"/>
        </w:rPr>
        <w:t>Седов В.В.</w:t>
      </w:r>
      <w:r>
        <w:rPr>
          <w:sz w:val="20"/>
          <w:szCs w:val="16"/>
        </w:rPr>
        <w:t xml:space="preserve"> /Рец./. Les Centres Proto-Urbains Russes Entre Scandinavie Byzance et Orient. Paris. 2000. 411 p. // РА. 2002. – № 2. – С. 172–275.</w:t>
      </w:r>
    </w:p>
    <w:p w14:paraId="394057C1" w14:textId="77777777" w:rsidR="00CD484C" w:rsidRDefault="00CD484C">
      <w:pPr>
        <w:ind w:firstLine="397"/>
        <w:jc w:val="both"/>
        <w:rPr>
          <w:sz w:val="20"/>
          <w:szCs w:val="16"/>
        </w:rPr>
      </w:pPr>
      <w:r>
        <w:rPr>
          <w:i/>
          <w:iCs/>
          <w:sz w:val="20"/>
          <w:szCs w:val="16"/>
        </w:rPr>
        <w:t>Седов В.В.</w:t>
      </w:r>
      <w:r>
        <w:rPr>
          <w:sz w:val="20"/>
          <w:szCs w:val="16"/>
        </w:rPr>
        <w:t xml:space="preserve"> Славяне. М.: Языки русской культуры, 2002а. – 624 с..</w:t>
      </w:r>
    </w:p>
    <w:p w14:paraId="74736CCA" w14:textId="77777777" w:rsidR="00CD484C" w:rsidRDefault="00CD484C">
      <w:pPr>
        <w:ind w:firstLine="397"/>
        <w:jc w:val="both"/>
        <w:rPr>
          <w:sz w:val="20"/>
          <w:szCs w:val="16"/>
        </w:rPr>
      </w:pPr>
      <w:r>
        <w:rPr>
          <w:i/>
          <w:iCs/>
          <w:sz w:val="20"/>
          <w:szCs w:val="16"/>
        </w:rPr>
        <w:t>Сейфеддини М.Л.</w:t>
      </w:r>
      <w:r>
        <w:rPr>
          <w:sz w:val="20"/>
          <w:szCs w:val="16"/>
        </w:rPr>
        <w:t xml:space="preserve"> Некоторые сведения о дирхемах и денежных терминах в Халифате // НС. Тбилиси, 1977. – С. 83–97.</w:t>
      </w:r>
    </w:p>
    <w:p w14:paraId="0B216DE2" w14:textId="77777777" w:rsidR="00CD484C" w:rsidRDefault="00CD484C">
      <w:pPr>
        <w:ind w:firstLine="397"/>
        <w:jc w:val="both"/>
        <w:rPr>
          <w:sz w:val="20"/>
          <w:szCs w:val="16"/>
        </w:rPr>
      </w:pPr>
      <w:r>
        <w:rPr>
          <w:i/>
          <w:iCs/>
          <w:sz w:val="20"/>
          <w:szCs w:val="16"/>
        </w:rPr>
        <w:t>Смоленские грамоты</w:t>
      </w:r>
      <w:r>
        <w:rPr>
          <w:sz w:val="20"/>
          <w:szCs w:val="16"/>
        </w:rPr>
        <w:t xml:space="preserve"> XII–XIV в. / Подгот. к печ. Л.А. Сумникова, В.Т. Лопатин; Под ред. Р.И. Аванесова. – М.: Наука, 1963. – 139 с.</w:t>
      </w:r>
    </w:p>
    <w:p w14:paraId="1C812B2E" w14:textId="77777777" w:rsidR="00CD484C" w:rsidRDefault="00CD484C">
      <w:pPr>
        <w:ind w:firstLine="397"/>
        <w:jc w:val="both"/>
        <w:rPr>
          <w:sz w:val="20"/>
          <w:szCs w:val="16"/>
        </w:rPr>
      </w:pPr>
      <w:r>
        <w:rPr>
          <w:i/>
          <w:iCs/>
          <w:sz w:val="20"/>
          <w:szCs w:val="16"/>
        </w:rPr>
        <w:t>Сойер П.</w:t>
      </w:r>
      <w:r>
        <w:rPr>
          <w:sz w:val="20"/>
          <w:szCs w:val="16"/>
        </w:rPr>
        <w:t xml:space="preserve"> Эпоха викингов. СПб: Евразия, 2002. – 316 с.</w:t>
      </w:r>
    </w:p>
    <w:p w14:paraId="22624068" w14:textId="77777777" w:rsidR="00CD484C" w:rsidRDefault="00CD484C">
      <w:pPr>
        <w:ind w:firstLine="397"/>
        <w:jc w:val="both"/>
        <w:rPr>
          <w:sz w:val="20"/>
          <w:szCs w:val="16"/>
        </w:rPr>
      </w:pPr>
      <w:r>
        <w:rPr>
          <w:i/>
          <w:iCs/>
          <w:sz w:val="20"/>
          <w:szCs w:val="16"/>
        </w:rPr>
        <w:t xml:space="preserve">Сокровища Приобья </w:t>
      </w:r>
      <w:r>
        <w:rPr>
          <w:sz w:val="20"/>
          <w:szCs w:val="16"/>
        </w:rPr>
        <w:t xml:space="preserve">/ Отв.ред. М.Б. Пиотровский. СПб: Формика,  1996. – 228 с. </w:t>
      </w:r>
    </w:p>
    <w:p w14:paraId="2E4D8E34" w14:textId="77777777" w:rsidR="00CD484C" w:rsidRDefault="00CD484C">
      <w:pPr>
        <w:ind w:firstLine="397"/>
        <w:jc w:val="both"/>
        <w:rPr>
          <w:sz w:val="20"/>
          <w:szCs w:val="16"/>
        </w:rPr>
      </w:pPr>
      <w:r>
        <w:rPr>
          <w:i/>
          <w:iCs/>
          <w:sz w:val="20"/>
          <w:szCs w:val="16"/>
        </w:rPr>
        <w:t>Соколова И.В.</w:t>
      </w:r>
      <w:r>
        <w:rPr>
          <w:sz w:val="20"/>
          <w:szCs w:val="16"/>
        </w:rPr>
        <w:t xml:space="preserve"> Византийские монеты клада Велла // ТГЭ. . 1961. – Т. 4. – С. 11–22.</w:t>
      </w:r>
    </w:p>
    <w:p w14:paraId="7055321C" w14:textId="77777777" w:rsidR="00CD484C" w:rsidRDefault="00CD484C">
      <w:pPr>
        <w:ind w:firstLine="397"/>
        <w:jc w:val="both"/>
        <w:rPr>
          <w:spacing w:val="-6"/>
          <w:sz w:val="20"/>
          <w:szCs w:val="16"/>
        </w:rPr>
      </w:pPr>
      <w:r>
        <w:rPr>
          <w:i/>
          <w:iCs/>
          <w:spacing w:val="-6"/>
          <w:sz w:val="20"/>
          <w:szCs w:val="16"/>
        </w:rPr>
        <w:t>Спасский И.Г.</w:t>
      </w:r>
      <w:r>
        <w:rPr>
          <w:spacing w:val="-6"/>
          <w:sz w:val="20"/>
          <w:szCs w:val="16"/>
        </w:rPr>
        <w:t xml:space="preserve"> Русская монетная система. Историко-нумизматический очерк. Издание четвертое, дополненное. Л.: Аврора, 1971. – 250 с.</w:t>
      </w:r>
    </w:p>
    <w:p w14:paraId="0F70587B" w14:textId="77777777" w:rsidR="00CD484C" w:rsidRDefault="00CD484C">
      <w:pPr>
        <w:ind w:firstLine="397"/>
        <w:jc w:val="both"/>
        <w:rPr>
          <w:sz w:val="20"/>
          <w:szCs w:val="16"/>
        </w:rPr>
      </w:pPr>
      <w:r>
        <w:rPr>
          <w:i/>
          <w:iCs/>
          <w:sz w:val="20"/>
          <w:szCs w:val="16"/>
        </w:rPr>
        <w:lastRenderedPageBreak/>
        <w:t>Спицын А.А.</w:t>
      </w:r>
      <w:r>
        <w:rPr>
          <w:sz w:val="20"/>
          <w:szCs w:val="16"/>
        </w:rPr>
        <w:t xml:space="preserve"> Археологическая находка конца Х века в Глазовском уезде Вятской губернии. 1905. (отд. отт.).</w:t>
      </w:r>
    </w:p>
    <w:p w14:paraId="63FF2758" w14:textId="77777777" w:rsidR="00CD484C" w:rsidRDefault="00CD484C">
      <w:pPr>
        <w:ind w:firstLine="397"/>
        <w:jc w:val="both"/>
        <w:rPr>
          <w:sz w:val="20"/>
          <w:szCs w:val="16"/>
        </w:rPr>
      </w:pPr>
      <w:r>
        <w:rPr>
          <w:i/>
          <w:iCs/>
          <w:sz w:val="20"/>
          <w:szCs w:val="16"/>
        </w:rPr>
        <w:t>Спицын А.А.</w:t>
      </w:r>
      <w:r>
        <w:rPr>
          <w:sz w:val="20"/>
          <w:szCs w:val="16"/>
        </w:rPr>
        <w:t xml:space="preserve"> Древности бассейнов рек Оки и Камы. Вып.1. СПб, 1901. – 120 с.</w:t>
      </w:r>
    </w:p>
    <w:p w14:paraId="4E9551CE" w14:textId="77777777" w:rsidR="00CD484C" w:rsidRDefault="00CD484C">
      <w:pPr>
        <w:ind w:firstLine="397"/>
        <w:jc w:val="both"/>
        <w:rPr>
          <w:sz w:val="20"/>
          <w:szCs w:val="16"/>
        </w:rPr>
      </w:pPr>
      <w:r>
        <w:rPr>
          <w:i/>
          <w:iCs/>
          <w:sz w:val="20"/>
          <w:szCs w:val="16"/>
        </w:rPr>
        <w:t>Ставиский Б.Я.</w:t>
      </w:r>
      <w:r>
        <w:rPr>
          <w:sz w:val="20"/>
          <w:szCs w:val="16"/>
        </w:rPr>
        <w:t xml:space="preserve"> О международных связях Средней азии в V- середине VIII в. (в свете данных советской археологии) //  Проблемы востоковедения. Т. 5. 1960. – С. 108–116.</w:t>
      </w:r>
    </w:p>
    <w:p w14:paraId="517028D2" w14:textId="77777777" w:rsidR="00CD484C" w:rsidRDefault="00CD484C">
      <w:pPr>
        <w:ind w:firstLine="397"/>
        <w:jc w:val="both"/>
        <w:rPr>
          <w:sz w:val="20"/>
          <w:szCs w:val="16"/>
        </w:rPr>
      </w:pPr>
      <w:r>
        <w:rPr>
          <w:i/>
          <w:iCs/>
          <w:sz w:val="20"/>
          <w:szCs w:val="16"/>
        </w:rPr>
        <w:t>Стальсберг А.</w:t>
      </w:r>
      <w:r>
        <w:rPr>
          <w:sz w:val="20"/>
          <w:szCs w:val="16"/>
        </w:rPr>
        <w:t xml:space="preserve"> Проблемы культурного взаимодействия Руси  и Скандинавии в VII–ХI вв. (по археологическим собраниям СНГ) // АВ. № 3. 1994.</w:t>
      </w:r>
    </w:p>
    <w:p w14:paraId="56DAEA16" w14:textId="5E3393A8" w:rsidR="00CD484C" w:rsidRDefault="00395416">
      <w:pPr>
        <w:ind w:firstLine="397"/>
        <w:jc w:val="both"/>
        <w:rPr>
          <w:sz w:val="20"/>
          <w:szCs w:val="16"/>
        </w:rPr>
      </w:pPr>
      <w:r>
        <w:rPr>
          <w:i/>
          <w:iCs/>
          <w:noProof/>
          <w:sz w:val="20"/>
          <w:szCs w:val="16"/>
        </w:rPr>
        <mc:AlternateContent>
          <mc:Choice Requires="wps">
            <w:drawing>
              <wp:anchor distT="0" distB="0" distL="114300" distR="114300" simplePos="0" relativeHeight="251691520" behindDoc="0" locked="1" layoutInCell="1" allowOverlap="1" wp14:anchorId="731F0A0F" wp14:editId="1488C67E">
                <wp:simplePos x="0" y="0"/>
                <wp:positionH relativeFrom="column">
                  <wp:posOffset>0</wp:posOffset>
                </wp:positionH>
                <wp:positionV relativeFrom="paragraph">
                  <wp:posOffset>-1713230</wp:posOffset>
                </wp:positionV>
                <wp:extent cx="4095750" cy="186690"/>
                <wp:effectExtent l="0" t="0" r="3810" b="0"/>
                <wp:wrapNone/>
                <wp:docPr id="1664216405"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17C50"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433AF316"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F0A0F" id="Text Box 253" o:spid="_x0000_s1096" type="#_x0000_t202" style="position:absolute;left:0;text-align:left;margin-left:0;margin-top:-134.9pt;width:322.5pt;height:14.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ma/7wEAAMIDAAAOAAAAZHJzL2Uyb0RvYy54bWysU8Fu2zAMvQ/YPwi6L3aKNW2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" stroked="f">
                <v:textbox inset="0,0,0,0">
                  <w:txbxContent>
                    <w:p w14:paraId="58F17C50"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433AF316" w14:textId="77777777" w:rsidR="00AE2133" w:rsidRDefault="00AE2133">
                      <w:pPr>
                        <w:rPr>
                          <w:b/>
                          <w:bCs/>
                          <w:sz w:val="2"/>
                          <w:u w:val="single"/>
                        </w:rPr>
                      </w:pPr>
                    </w:p>
                  </w:txbxContent>
                </v:textbox>
                <w10:anchorlock/>
              </v:shape>
            </w:pict>
          </mc:Fallback>
        </mc:AlternateContent>
      </w:r>
      <w:r w:rsidR="00CD484C">
        <w:rPr>
          <w:i/>
          <w:iCs/>
          <w:sz w:val="20"/>
          <w:szCs w:val="16"/>
        </w:rPr>
        <w:t>Стальсберг А.</w:t>
      </w:r>
      <w:r w:rsidR="00CD484C">
        <w:rPr>
          <w:sz w:val="20"/>
          <w:szCs w:val="16"/>
        </w:rPr>
        <w:t xml:space="preserve"> О скандинавских погребениях с лодками эпохи викингов на территории Древней Руи // Историческая археология. Традиции и перспективы: К 80-летию Д.А. Авдусина. М.: Памятники исторической мысли, 1998. – С. 277–288.</w:t>
      </w:r>
    </w:p>
    <w:p w14:paraId="27533A1E" w14:textId="77777777" w:rsidR="00CD484C" w:rsidRDefault="00CD484C">
      <w:pPr>
        <w:ind w:firstLine="397"/>
        <w:jc w:val="both"/>
        <w:rPr>
          <w:sz w:val="20"/>
          <w:szCs w:val="16"/>
        </w:rPr>
      </w:pPr>
      <w:r>
        <w:rPr>
          <w:i/>
          <w:iCs/>
          <w:sz w:val="20"/>
          <w:szCs w:val="16"/>
        </w:rPr>
        <w:t>Степи Евразии</w:t>
      </w:r>
      <w:r>
        <w:rPr>
          <w:sz w:val="20"/>
          <w:szCs w:val="16"/>
        </w:rPr>
        <w:t xml:space="preserve"> в эпоху средневековья. Археология СССР в 20-ти томах / Ответ.ред. тома С.А. Плетнёва. М.: Наука. 1981. – 304 с.</w:t>
      </w:r>
    </w:p>
    <w:p w14:paraId="3EE9487F" w14:textId="77777777" w:rsidR="00CD484C" w:rsidRDefault="00CD484C">
      <w:pPr>
        <w:ind w:firstLine="397"/>
        <w:jc w:val="both"/>
        <w:rPr>
          <w:sz w:val="20"/>
          <w:szCs w:val="16"/>
        </w:rPr>
      </w:pPr>
      <w:r>
        <w:rPr>
          <w:i/>
          <w:iCs/>
          <w:sz w:val="20"/>
          <w:szCs w:val="16"/>
        </w:rPr>
        <w:t>Толочко П.П.</w:t>
      </w:r>
      <w:r>
        <w:rPr>
          <w:sz w:val="20"/>
          <w:szCs w:val="16"/>
        </w:rPr>
        <w:t xml:space="preserve"> Древняя Русь. Очерки социально-политической истории. Киев. 1987.</w:t>
      </w:r>
    </w:p>
    <w:p w14:paraId="168F0170" w14:textId="77777777" w:rsidR="00CD484C" w:rsidRDefault="00CD484C">
      <w:pPr>
        <w:ind w:firstLine="397"/>
        <w:jc w:val="both"/>
        <w:rPr>
          <w:sz w:val="20"/>
          <w:szCs w:val="16"/>
        </w:rPr>
      </w:pPr>
      <w:r>
        <w:rPr>
          <w:i/>
          <w:iCs/>
          <w:sz w:val="20"/>
          <w:szCs w:val="16"/>
        </w:rPr>
        <w:t>Толстов С.П.</w:t>
      </w:r>
      <w:r>
        <w:rPr>
          <w:sz w:val="20"/>
          <w:szCs w:val="16"/>
        </w:rPr>
        <w:t xml:space="preserve"> Древний Хорезм. М.: АН СССP, 1948.</w:t>
      </w:r>
    </w:p>
    <w:p w14:paraId="0736DC3D" w14:textId="77777777" w:rsidR="00CD484C" w:rsidRDefault="00CD484C">
      <w:pPr>
        <w:ind w:firstLine="397"/>
        <w:jc w:val="both"/>
        <w:rPr>
          <w:spacing w:val="-2"/>
          <w:sz w:val="20"/>
          <w:szCs w:val="16"/>
        </w:rPr>
      </w:pPr>
      <w:r>
        <w:rPr>
          <w:i/>
          <w:iCs/>
          <w:spacing w:val="-2"/>
          <w:sz w:val="20"/>
          <w:szCs w:val="16"/>
        </w:rPr>
        <w:t>Фасмер Р.Р.</w:t>
      </w:r>
      <w:r>
        <w:rPr>
          <w:spacing w:val="-2"/>
          <w:sz w:val="20"/>
          <w:szCs w:val="16"/>
        </w:rPr>
        <w:t xml:space="preserve"> 1914. Куфические монеты Переяславского клада. Пг. 50 с.</w:t>
      </w:r>
    </w:p>
    <w:p w14:paraId="5EABCCA0" w14:textId="77777777" w:rsidR="00CD484C" w:rsidRDefault="00CD484C">
      <w:pPr>
        <w:ind w:firstLine="397"/>
        <w:jc w:val="both"/>
        <w:rPr>
          <w:sz w:val="20"/>
          <w:szCs w:val="16"/>
        </w:rPr>
      </w:pPr>
      <w:r>
        <w:rPr>
          <w:i/>
          <w:iCs/>
          <w:sz w:val="20"/>
          <w:szCs w:val="16"/>
        </w:rPr>
        <w:t>Фасмер Р.Р.</w:t>
      </w:r>
      <w:r>
        <w:rPr>
          <w:sz w:val="20"/>
          <w:szCs w:val="16"/>
        </w:rPr>
        <w:t xml:space="preserve"> Клад куфических монет, найденный в Новгороде в 1920 г. // Изв.РАИМК. Т.4. 1925. – С. 242–276.</w:t>
      </w:r>
    </w:p>
    <w:p w14:paraId="7FD6065D" w14:textId="77777777" w:rsidR="00CD484C" w:rsidRDefault="00CD484C">
      <w:pPr>
        <w:ind w:firstLine="397"/>
        <w:jc w:val="both"/>
        <w:rPr>
          <w:sz w:val="20"/>
          <w:szCs w:val="16"/>
        </w:rPr>
      </w:pPr>
      <w:r>
        <w:rPr>
          <w:i/>
          <w:iCs/>
          <w:sz w:val="20"/>
          <w:szCs w:val="16"/>
        </w:rPr>
        <w:t>Фасмер Р.Р.</w:t>
      </w:r>
      <w:r>
        <w:rPr>
          <w:sz w:val="20"/>
          <w:szCs w:val="16"/>
        </w:rPr>
        <w:t xml:space="preserve"> Завалишинский клад куфических монет VIII–IX вв. Л.: ГАИМК. 1931. – 20 c.</w:t>
      </w:r>
    </w:p>
    <w:p w14:paraId="50BF21BC" w14:textId="77777777" w:rsidR="00CD484C" w:rsidRDefault="00CD484C">
      <w:pPr>
        <w:ind w:firstLine="397"/>
        <w:jc w:val="both"/>
        <w:rPr>
          <w:sz w:val="20"/>
          <w:szCs w:val="16"/>
        </w:rPr>
      </w:pPr>
      <w:r>
        <w:rPr>
          <w:i/>
          <w:iCs/>
          <w:sz w:val="20"/>
          <w:szCs w:val="16"/>
        </w:rPr>
        <w:t>Фасмер Р.Р.</w:t>
      </w:r>
      <w:r>
        <w:rPr>
          <w:sz w:val="20"/>
          <w:szCs w:val="16"/>
        </w:rPr>
        <w:t xml:space="preserve"> Об издании топографии кладов куфических монет // Изв.  АН СССР. Отделение Общественных наук. №  6–7. 1933. – С. 471–484.</w:t>
      </w:r>
    </w:p>
    <w:p w14:paraId="4F7DFE31" w14:textId="77777777" w:rsidR="00CD484C" w:rsidRDefault="00CD484C">
      <w:pPr>
        <w:ind w:firstLine="397"/>
        <w:jc w:val="both"/>
        <w:rPr>
          <w:spacing w:val="-2"/>
          <w:sz w:val="20"/>
          <w:szCs w:val="16"/>
        </w:rPr>
      </w:pPr>
      <w:r>
        <w:rPr>
          <w:i/>
          <w:iCs/>
          <w:spacing w:val="-2"/>
          <w:sz w:val="20"/>
          <w:szCs w:val="16"/>
        </w:rPr>
        <w:t>Фасмер Р.Р.</w:t>
      </w:r>
      <w:r>
        <w:rPr>
          <w:spacing w:val="-2"/>
          <w:sz w:val="20"/>
          <w:szCs w:val="16"/>
        </w:rPr>
        <w:t xml:space="preserve"> 1937. Два клада куфических монет. Л.:  ГАИИМК. – 37 с.</w:t>
      </w:r>
    </w:p>
    <w:p w14:paraId="2F8D6FEC" w14:textId="77777777" w:rsidR="00CD484C" w:rsidRDefault="00CD484C">
      <w:pPr>
        <w:ind w:firstLine="397"/>
        <w:jc w:val="both"/>
        <w:rPr>
          <w:sz w:val="20"/>
          <w:szCs w:val="16"/>
        </w:rPr>
      </w:pPr>
      <w:r>
        <w:rPr>
          <w:i/>
          <w:iCs/>
          <w:sz w:val="20"/>
          <w:szCs w:val="16"/>
        </w:rPr>
        <w:t>Фехнер М.В.</w:t>
      </w:r>
      <w:r>
        <w:rPr>
          <w:sz w:val="20"/>
          <w:szCs w:val="16"/>
        </w:rPr>
        <w:t xml:space="preserve"> К вопросу об экономических связях древнерусской деревни // Очерки по истории русской деревни X–XIII в. / Тр.ГИМ. Вып.33. М.: Сов.Россия. 1959. – С. 144–224.</w:t>
      </w:r>
    </w:p>
    <w:p w14:paraId="600B8D92" w14:textId="77777777" w:rsidR="00CD484C" w:rsidRDefault="00CD484C">
      <w:pPr>
        <w:ind w:firstLine="397"/>
        <w:jc w:val="both"/>
        <w:rPr>
          <w:sz w:val="20"/>
          <w:szCs w:val="16"/>
        </w:rPr>
      </w:pPr>
      <w:r>
        <w:rPr>
          <w:i/>
          <w:iCs/>
          <w:sz w:val="20"/>
          <w:szCs w:val="16"/>
        </w:rPr>
        <w:t>Фёдоров-Давыдов Г.А.</w:t>
      </w:r>
      <w:r>
        <w:rPr>
          <w:sz w:val="20"/>
          <w:szCs w:val="16"/>
        </w:rPr>
        <w:t xml:space="preserve"> Монеты – свидетели прошлого М.: МГУ. 1985. – 176 с.</w:t>
      </w:r>
    </w:p>
    <w:p w14:paraId="3642F5E7" w14:textId="77777777" w:rsidR="00CD484C" w:rsidRDefault="00CD484C">
      <w:pPr>
        <w:ind w:firstLine="397"/>
        <w:jc w:val="both"/>
        <w:rPr>
          <w:sz w:val="20"/>
          <w:szCs w:val="16"/>
        </w:rPr>
      </w:pPr>
      <w:r>
        <w:rPr>
          <w:i/>
          <w:iCs/>
          <w:sz w:val="20"/>
          <w:szCs w:val="16"/>
        </w:rPr>
        <w:t xml:space="preserve">Фёдоров-Давыдов Г.А. </w:t>
      </w:r>
      <w:r>
        <w:rPr>
          <w:sz w:val="20"/>
          <w:szCs w:val="16"/>
        </w:rPr>
        <w:t>Новые находки восточных монет VIII–ХШ вв.  на территории Восточной Европы // ЭВ. 1985а. – Т. 23. – С. 44–47.</w:t>
      </w:r>
    </w:p>
    <w:p w14:paraId="41E06CEB" w14:textId="77777777" w:rsidR="00CD484C" w:rsidRDefault="00CD484C">
      <w:pPr>
        <w:ind w:firstLine="397"/>
        <w:jc w:val="both"/>
        <w:rPr>
          <w:sz w:val="20"/>
          <w:szCs w:val="16"/>
        </w:rPr>
      </w:pPr>
      <w:r>
        <w:rPr>
          <w:i/>
          <w:iCs/>
          <w:sz w:val="20"/>
          <w:szCs w:val="16"/>
        </w:rPr>
        <w:t>Фёдоров-Давыдов Г.А.</w:t>
      </w:r>
      <w:r>
        <w:rPr>
          <w:sz w:val="20"/>
          <w:szCs w:val="16"/>
        </w:rPr>
        <w:t xml:space="preserve"> Находки восточных монет VIII–ХIII вв. в Восточной Европе //  ЭВ. 1988. – Т. 24. – С. 44–56.</w:t>
      </w:r>
    </w:p>
    <w:p w14:paraId="59BF5095" w14:textId="77777777" w:rsidR="00CD484C" w:rsidRDefault="00CD484C">
      <w:pPr>
        <w:ind w:firstLine="397"/>
        <w:jc w:val="both"/>
        <w:rPr>
          <w:sz w:val="20"/>
          <w:szCs w:val="16"/>
        </w:rPr>
      </w:pPr>
      <w:r>
        <w:rPr>
          <w:i/>
          <w:iCs/>
          <w:sz w:val="20"/>
          <w:szCs w:val="16"/>
        </w:rPr>
        <w:t>Фёдорова Н.В.</w:t>
      </w:r>
      <w:r>
        <w:rPr>
          <w:sz w:val="20"/>
          <w:szCs w:val="16"/>
        </w:rPr>
        <w:t xml:space="preserve"> Культурные связи // Угорское наследие. Екатеринбург:  Внешторгиздат – ДИАКОМ, 1994. – С. 64–68.</w:t>
      </w:r>
    </w:p>
    <w:p w14:paraId="1B833C79" w14:textId="77777777" w:rsidR="00CD484C" w:rsidRDefault="00CD484C">
      <w:pPr>
        <w:ind w:firstLine="397"/>
        <w:jc w:val="both"/>
        <w:rPr>
          <w:sz w:val="20"/>
          <w:szCs w:val="16"/>
        </w:rPr>
      </w:pPr>
      <w:r>
        <w:rPr>
          <w:i/>
          <w:iCs/>
          <w:sz w:val="20"/>
          <w:szCs w:val="16"/>
        </w:rPr>
        <w:t>Фёдорова Н.В.</w:t>
      </w:r>
      <w:r>
        <w:rPr>
          <w:sz w:val="20"/>
          <w:szCs w:val="16"/>
        </w:rPr>
        <w:t xml:space="preserve"> Западная Сибирь и мир средневековых цивилизаций: история взаимодействий на торговых путях // Археология, этнография и антропология Евразии. 2002. № 4(12). – С. 91–101.</w:t>
      </w:r>
    </w:p>
    <w:p w14:paraId="14B3A75B" w14:textId="77777777" w:rsidR="00CD484C" w:rsidRDefault="00CD484C">
      <w:pPr>
        <w:ind w:firstLine="397"/>
        <w:jc w:val="both"/>
        <w:rPr>
          <w:sz w:val="20"/>
          <w:szCs w:val="16"/>
        </w:rPr>
      </w:pPr>
      <w:r>
        <w:rPr>
          <w:i/>
          <w:iCs/>
          <w:sz w:val="20"/>
          <w:szCs w:val="16"/>
        </w:rPr>
        <w:lastRenderedPageBreak/>
        <w:t>Фомин А.В.</w:t>
      </w:r>
      <w:r>
        <w:rPr>
          <w:sz w:val="20"/>
          <w:szCs w:val="16"/>
        </w:rPr>
        <w:t xml:space="preserve"> Начало распространения куфических монет в районе Балтики // КСИА АН СССР. Вып. 17. 1982. – С. 16–21.  </w:t>
      </w:r>
    </w:p>
    <w:p w14:paraId="4B2806C7" w14:textId="77777777" w:rsidR="00CD484C" w:rsidRDefault="00CD484C">
      <w:pPr>
        <w:ind w:firstLine="397"/>
        <w:jc w:val="both"/>
        <w:rPr>
          <w:sz w:val="20"/>
          <w:szCs w:val="16"/>
        </w:rPr>
      </w:pPr>
      <w:r>
        <w:rPr>
          <w:i/>
          <w:iCs/>
          <w:sz w:val="20"/>
          <w:szCs w:val="16"/>
        </w:rPr>
        <w:t>Фомин А.В.</w:t>
      </w:r>
      <w:r>
        <w:rPr>
          <w:sz w:val="20"/>
          <w:szCs w:val="16"/>
        </w:rPr>
        <w:t xml:space="preserve"> Источниковедение кладов куфических монет IX в. // НС. Ч.8. М., 1983. – С. 24–28.</w:t>
      </w:r>
    </w:p>
    <w:p w14:paraId="5998ED63" w14:textId="77777777" w:rsidR="00CD484C" w:rsidRDefault="00CD484C">
      <w:pPr>
        <w:ind w:firstLine="397"/>
        <w:jc w:val="both"/>
        <w:rPr>
          <w:sz w:val="20"/>
          <w:szCs w:val="16"/>
        </w:rPr>
      </w:pPr>
      <w:r>
        <w:rPr>
          <w:i/>
          <w:iCs/>
          <w:sz w:val="20"/>
          <w:szCs w:val="16"/>
        </w:rPr>
        <w:t>Фомин А.В.</w:t>
      </w:r>
      <w:r>
        <w:rPr>
          <w:sz w:val="20"/>
          <w:szCs w:val="16"/>
        </w:rPr>
        <w:t xml:space="preserve"> Методические проблемы систематизации кладов с куфическими монетами в IX–Х вв. // ВИД. Т.14. 1983а. – С. 74–81.</w:t>
      </w:r>
    </w:p>
    <w:p w14:paraId="5AD7DAC9" w14:textId="77777777" w:rsidR="00CD484C" w:rsidRDefault="00CD484C">
      <w:pPr>
        <w:ind w:firstLine="397"/>
        <w:jc w:val="both"/>
        <w:rPr>
          <w:sz w:val="20"/>
          <w:szCs w:val="16"/>
        </w:rPr>
      </w:pPr>
      <w:r>
        <w:rPr>
          <w:i/>
          <w:iCs/>
          <w:sz w:val="20"/>
          <w:szCs w:val="16"/>
        </w:rPr>
        <w:t>Фомин А.В.</w:t>
      </w:r>
      <w:r>
        <w:rPr>
          <w:sz w:val="20"/>
          <w:szCs w:val="16"/>
        </w:rPr>
        <w:t xml:space="preserve"> Проблема экономических контактов Арабского халифата со странами Европы // Информационный бюллетень Международной ассоциации по изучению  культур Центральной Азии. ЮНЕСКО. 1983б. – Вып. 4. – С. 19–25.</w:t>
      </w:r>
    </w:p>
    <w:p w14:paraId="25F13979" w14:textId="77777777" w:rsidR="00CD484C" w:rsidRDefault="00CD484C">
      <w:pPr>
        <w:ind w:firstLine="397"/>
        <w:jc w:val="both"/>
        <w:rPr>
          <w:sz w:val="20"/>
          <w:szCs w:val="16"/>
        </w:rPr>
      </w:pPr>
      <w:r>
        <w:rPr>
          <w:i/>
          <w:iCs/>
          <w:sz w:val="20"/>
          <w:szCs w:val="16"/>
        </w:rPr>
        <w:t>Фомин А.В.</w:t>
      </w:r>
      <w:r>
        <w:rPr>
          <w:sz w:val="20"/>
          <w:szCs w:val="16"/>
        </w:rPr>
        <w:t xml:space="preserve"> Начало чеканки серебряных монет в Мединет-ас Саламе (Багдаде) при Аббасидах // Тр.ГИМ. Вып.61. 1986. – С. 89–93.</w:t>
      </w:r>
    </w:p>
    <w:p w14:paraId="32369260" w14:textId="77777777" w:rsidR="00CD484C" w:rsidRDefault="00CD484C">
      <w:pPr>
        <w:ind w:firstLine="397"/>
        <w:jc w:val="both"/>
        <w:rPr>
          <w:sz w:val="20"/>
          <w:szCs w:val="16"/>
        </w:rPr>
      </w:pPr>
      <w:r>
        <w:rPr>
          <w:i/>
          <w:iCs/>
          <w:sz w:val="20"/>
          <w:szCs w:val="16"/>
        </w:rPr>
        <w:t>Фомин А.В.</w:t>
      </w:r>
      <w:r>
        <w:rPr>
          <w:sz w:val="20"/>
          <w:szCs w:val="16"/>
        </w:rPr>
        <w:t xml:space="preserve"> Монеты Арабского Халифата // Деньги и кредит. 1987. – № 5. – С. 74–79.</w:t>
      </w:r>
    </w:p>
    <w:p w14:paraId="729A4849" w14:textId="77777777" w:rsidR="00CD484C" w:rsidRDefault="00CD484C">
      <w:pPr>
        <w:ind w:firstLine="397"/>
        <w:jc w:val="both"/>
        <w:rPr>
          <w:sz w:val="20"/>
          <w:szCs w:val="16"/>
        </w:rPr>
      </w:pPr>
      <w:r>
        <w:rPr>
          <w:i/>
          <w:iCs/>
          <w:sz w:val="20"/>
          <w:szCs w:val="16"/>
        </w:rPr>
        <w:t>Фомин А.В.</w:t>
      </w:r>
      <w:r>
        <w:rPr>
          <w:sz w:val="20"/>
          <w:szCs w:val="16"/>
        </w:rPr>
        <w:t xml:space="preserve"> Выжегский клад куфических монет 1-й пол. IX // Проблемы изучения древнерусской культуры (расселение и этнические процессы в Северо-Восточной Руси). М., 1988. – С. 103–131.</w:t>
      </w:r>
    </w:p>
    <w:p w14:paraId="23D40970" w14:textId="77777777" w:rsidR="00CD484C" w:rsidRDefault="00CD484C">
      <w:pPr>
        <w:ind w:firstLine="397"/>
        <w:jc w:val="both"/>
        <w:rPr>
          <w:sz w:val="20"/>
          <w:szCs w:val="16"/>
        </w:rPr>
      </w:pPr>
      <w:r>
        <w:rPr>
          <w:i/>
          <w:iCs/>
          <w:sz w:val="20"/>
          <w:szCs w:val="16"/>
        </w:rPr>
        <w:t>Фомин А.В.</w:t>
      </w:r>
      <w:r>
        <w:rPr>
          <w:sz w:val="20"/>
          <w:szCs w:val="16"/>
        </w:rPr>
        <w:t xml:space="preserve"> Рунические знаки и тамги на подражаниях куфическим монетам Х в. // СА. 1988а. – № 4. – С. 187–198.</w:t>
      </w:r>
    </w:p>
    <w:p w14:paraId="187ADD57" w14:textId="77777777" w:rsidR="00CD484C" w:rsidRDefault="00CD484C">
      <w:pPr>
        <w:ind w:firstLine="397"/>
        <w:jc w:val="both"/>
        <w:rPr>
          <w:sz w:val="20"/>
          <w:szCs w:val="16"/>
        </w:rPr>
      </w:pPr>
      <w:r>
        <w:rPr>
          <w:i/>
          <w:iCs/>
          <w:sz w:val="20"/>
          <w:szCs w:val="16"/>
        </w:rPr>
        <w:t>Фомин А.В.</w:t>
      </w:r>
      <w:r>
        <w:rPr>
          <w:sz w:val="20"/>
          <w:szCs w:val="16"/>
        </w:rPr>
        <w:t xml:space="preserve"> Русь и Хазария в международной торговле серебром в !Х в. //  Внешняя политика Древней Руси. ТД. М., 1988б. – С. 109–113.</w:t>
      </w:r>
    </w:p>
    <w:p w14:paraId="3C8A094E" w14:textId="77777777" w:rsidR="00CD484C" w:rsidRDefault="00CD484C">
      <w:pPr>
        <w:ind w:firstLine="397"/>
        <w:jc w:val="both"/>
        <w:rPr>
          <w:sz w:val="20"/>
          <w:szCs w:val="16"/>
        </w:rPr>
      </w:pPr>
      <w:r>
        <w:rPr>
          <w:i/>
          <w:iCs/>
          <w:sz w:val="20"/>
          <w:szCs w:val="16"/>
        </w:rPr>
        <w:t>Фомин А.В.</w:t>
      </w:r>
      <w:r>
        <w:rPr>
          <w:sz w:val="20"/>
          <w:szCs w:val="16"/>
        </w:rPr>
        <w:t xml:space="preserve"> Древнерусские денежно-монетные рынки в 70–80-х годах Х в. // ДГ 1992–1993  годы. М.: Наука, 1995. – С. 63–72.</w:t>
      </w:r>
    </w:p>
    <w:p w14:paraId="1693BFBE" w14:textId="77777777" w:rsidR="00CD484C" w:rsidRDefault="00CD484C">
      <w:pPr>
        <w:tabs>
          <w:tab w:val="left" w:pos="567"/>
          <w:tab w:val="left" w:pos="2268"/>
          <w:tab w:val="left" w:pos="2694"/>
        </w:tabs>
        <w:ind w:firstLine="397"/>
        <w:jc w:val="both"/>
        <w:rPr>
          <w:sz w:val="20"/>
          <w:szCs w:val="16"/>
        </w:rPr>
      </w:pPr>
      <w:r>
        <w:rPr>
          <w:i/>
          <w:iCs/>
          <w:sz w:val="20"/>
          <w:szCs w:val="16"/>
        </w:rPr>
        <w:t>Фомин А.В.</w:t>
      </w:r>
      <w:r>
        <w:rPr>
          <w:sz w:val="20"/>
          <w:szCs w:val="16"/>
        </w:rPr>
        <w:t xml:space="preserve"> Куфические монеты Гнездовского клада // ДГ 1994 год. М.: Археографич.центр,  1996. – С. 187–203.</w:t>
      </w:r>
    </w:p>
    <w:p w14:paraId="3D2F9DA9" w14:textId="77777777" w:rsidR="00CD484C" w:rsidRDefault="00CD484C">
      <w:pPr>
        <w:tabs>
          <w:tab w:val="left" w:pos="567"/>
          <w:tab w:val="left" w:pos="2268"/>
          <w:tab w:val="left" w:pos="2694"/>
        </w:tabs>
        <w:ind w:firstLine="397"/>
        <w:jc w:val="both"/>
        <w:rPr>
          <w:sz w:val="20"/>
          <w:szCs w:val="16"/>
        </w:rPr>
      </w:pPr>
      <w:r>
        <w:rPr>
          <w:i/>
          <w:iCs/>
          <w:sz w:val="20"/>
          <w:szCs w:val="16"/>
        </w:rPr>
        <w:t>Фрай Р.</w:t>
      </w:r>
      <w:r>
        <w:rPr>
          <w:sz w:val="20"/>
          <w:szCs w:val="16"/>
        </w:rPr>
        <w:t xml:space="preserve"> Наследие Ирана. М.: Наука ГРВЛ, 1972. – 390 с. (Издание второе, исправленное и дополненное. М.: ИФ «ВЛ» РАН. 2002. – 463 с.).</w:t>
      </w:r>
    </w:p>
    <w:p w14:paraId="66C03ABA" w14:textId="77777777" w:rsidR="00CD484C" w:rsidRDefault="00CD484C">
      <w:pPr>
        <w:ind w:firstLine="397"/>
        <w:jc w:val="both"/>
        <w:rPr>
          <w:sz w:val="20"/>
          <w:szCs w:val="16"/>
        </w:rPr>
      </w:pPr>
      <w:r>
        <w:rPr>
          <w:i/>
          <w:iCs/>
          <w:sz w:val="20"/>
          <w:szCs w:val="16"/>
        </w:rPr>
        <w:t>Хайек Ф.</w:t>
      </w:r>
      <w:r>
        <w:rPr>
          <w:sz w:val="20"/>
          <w:szCs w:val="16"/>
        </w:rPr>
        <w:t xml:space="preserve"> Частные деньги. Б.м.: Ин-т национальной модели экономики, 1996. – 229 с.</w:t>
      </w:r>
    </w:p>
    <w:p w14:paraId="7799E5B5" w14:textId="77777777" w:rsidR="00CD484C" w:rsidRDefault="00CD484C">
      <w:pPr>
        <w:ind w:firstLine="397"/>
        <w:jc w:val="both"/>
        <w:rPr>
          <w:sz w:val="20"/>
          <w:szCs w:val="16"/>
        </w:rPr>
      </w:pPr>
      <w:r>
        <w:rPr>
          <w:i/>
          <w:iCs/>
          <w:sz w:val="20"/>
          <w:szCs w:val="16"/>
        </w:rPr>
        <w:t>Хан Н.А.</w:t>
      </w:r>
      <w:r>
        <w:rPr>
          <w:sz w:val="20"/>
          <w:szCs w:val="16"/>
        </w:rPr>
        <w:t xml:space="preserve"> Роль Вятско-Камского ареала в трансевразийской торговле (VI–ХI вв.) // Урал в прошлом и настоящем. Материалы научной конференции. Ч.1. Екатеринбург. 1998. – С. 115–118.</w:t>
      </w:r>
    </w:p>
    <w:p w14:paraId="660E3F6C" w14:textId="77777777" w:rsidR="00CD484C" w:rsidRDefault="00CD484C">
      <w:pPr>
        <w:ind w:firstLine="397"/>
        <w:jc w:val="both"/>
        <w:rPr>
          <w:sz w:val="20"/>
          <w:szCs w:val="16"/>
        </w:rPr>
      </w:pPr>
      <w:r>
        <w:rPr>
          <w:i/>
          <w:iCs/>
          <w:sz w:val="20"/>
          <w:szCs w:val="16"/>
        </w:rPr>
        <w:t>Хан Н.А.</w:t>
      </w:r>
      <w:r>
        <w:rPr>
          <w:sz w:val="20"/>
          <w:szCs w:val="16"/>
        </w:rPr>
        <w:t xml:space="preserve"> О поступлении куфического серебра на Нижнюю Волгу в Х в. // Археология Нижнего Поволжья на рубеже тысячелетий. Материалы Всерос. научно-практической конференции. Астрахань, 2001. – С. 34–37.</w:t>
      </w:r>
    </w:p>
    <w:p w14:paraId="4BA3F703" w14:textId="77777777" w:rsidR="00CD484C" w:rsidRDefault="00CD484C">
      <w:pPr>
        <w:ind w:firstLine="397"/>
        <w:jc w:val="both"/>
        <w:rPr>
          <w:sz w:val="20"/>
          <w:szCs w:val="16"/>
        </w:rPr>
      </w:pPr>
      <w:r>
        <w:rPr>
          <w:i/>
          <w:iCs/>
          <w:sz w:val="20"/>
          <w:szCs w:val="16"/>
        </w:rPr>
        <w:t>Хан Н.А.</w:t>
      </w:r>
      <w:r>
        <w:rPr>
          <w:sz w:val="20"/>
          <w:szCs w:val="16"/>
        </w:rPr>
        <w:t xml:space="preserve"> Торговые связи Центральной Азии, Ирана, Азербайджана и Европы на рубеже Х–XI вв. // Сб.статей по археологии. «Древности». Вып.35. М., 2002. – С. 50–80.</w:t>
      </w:r>
    </w:p>
    <w:p w14:paraId="6C4813B1" w14:textId="77777777" w:rsidR="00CD484C" w:rsidRDefault="00CD484C">
      <w:pPr>
        <w:ind w:firstLine="397"/>
        <w:jc w:val="both"/>
        <w:rPr>
          <w:sz w:val="20"/>
          <w:szCs w:val="16"/>
        </w:rPr>
      </w:pPr>
      <w:r>
        <w:rPr>
          <w:i/>
          <w:iCs/>
          <w:sz w:val="20"/>
          <w:szCs w:val="16"/>
        </w:rPr>
        <w:t>Хан Н.А.</w:t>
      </w:r>
      <w:r>
        <w:rPr>
          <w:sz w:val="20"/>
          <w:szCs w:val="16"/>
        </w:rPr>
        <w:t xml:space="preserve"> Историко-географические локусы Перми в период средневековья // Международное (XVI) Уральское археологическое совещание. Пермь, 2003. – С. 177–180.</w:t>
      </w:r>
    </w:p>
    <w:p w14:paraId="242852D5" w14:textId="77777777" w:rsidR="00CD484C" w:rsidRDefault="00CD484C">
      <w:pPr>
        <w:ind w:firstLine="397"/>
        <w:jc w:val="both"/>
        <w:rPr>
          <w:sz w:val="20"/>
          <w:szCs w:val="16"/>
        </w:rPr>
      </w:pPr>
      <w:r>
        <w:rPr>
          <w:i/>
          <w:iCs/>
          <w:sz w:val="20"/>
          <w:szCs w:val="16"/>
        </w:rPr>
        <w:lastRenderedPageBreak/>
        <w:t>Харитонов Д.Е.</w:t>
      </w:r>
      <w:r>
        <w:rPr>
          <w:sz w:val="20"/>
          <w:szCs w:val="16"/>
        </w:rPr>
        <w:t xml:space="preserve"> Находки восточных монет V–VIII вв. в Прикамье  // На Западном Урале. Вып. 4. Пермь, 1964. – С. 170–175.</w:t>
      </w:r>
    </w:p>
    <w:p w14:paraId="39FE6DA7" w14:textId="77777777" w:rsidR="00CD484C" w:rsidRDefault="00CD484C">
      <w:pPr>
        <w:ind w:firstLine="397"/>
        <w:jc w:val="both"/>
        <w:rPr>
          <w:sz w:val="20"/>
          <w:szCs w:val="16"/>
        </w:rPr>
      </w:pPr>
      <w:r>
        <w:rPr>
          <w:i/>
          <w:iCs/>
          <w:sz w:val="20"/>
          <w:szCs w:val="16"/>
        </w:rPr>
        <w:t>Хинц В.</w:t>
      </w:r>
      <w:r>
        <w:rPr>
          <w:sz w:val="20"/>
          <w:szCs w:val="16"/>
        </w:rPr>
        <w:t xml:space="preserve"> Мусульманские меры веса с переводом в метрическую систему М.: Наука, «ВЛ», 1970. – С. 9–79.</w:t>
      </w:r>
    </w:p>
    <w:p w14:paraId="70C162F3" w14:textId="77777777" w:rsidR="00CD484C" w:rsidRDefault="00CD484C">
      <w:pPr>
        <w:ind w:firstLine="397"/>
        <w:jc w:val="both"/>
        <w:rPr>
          <w:sz w:val="20"/>
          <w:szCs w:val="16"/>
        </w:rPr>
      </w:pPr>
      <w:r>
        <w:rPr>
          <w:i/>
          <w:iCs/>
          <w:sz w:val="20"/>
          <w:szCs w:val="16"/>
        </w:rPr>
        <w:t>Хузин Ф.П.</w:t>
      </w:r>
      <w:r>
        <w:rPr>
          <w:sz w:val="20"/>
          <w:szCs w:val="16"/>
        </w:rPr>
        <w:t xml:space="preserve"> Булгарский город в X – начале XIII вв. Казань: Мастер Лайн, 2001. – 480 с.          </w:t>
      </w:r>
    </w:p>
    <w:p w14:paraId="45FE08D3" w14:textId="77777777" w:rsidR="00CD484C" w:rsidRDefault="00CD484C">
      <w:pPr>
        <w:ind w:firstLine="397"/>
        <w:jc w:val="both"/>
        <w:rPr>
          <w:sz w:val="20"/>
          <w:szCs w:val="16"/>
        </w:rPr>
      </w:pPr>
      <w:r>
        <w:rPr>
          <w:i/>
          <w:iCs/>
          <w:sz w:val="20"/>
          <w:szCs w:val="16"/>
        </w:rPr>
        <w:t>Щапов Я.Н.</w:t>
      </w:r>
      <w:r>
        <w:rPr>
          <w:sz w:val="20"/>
          <w:szCs w:val="16"/>
        </w:rPr>
        <w:t xml:space="preserve"> Княжеские уставы и церковь в Древней Руси вв. М.: Наука, – 1972. – 341 с.</w:t>
      </w:r>
    </w:p>
    <w:p w14:paraId="3DA56CEE" w14:textId="77777777" w:rsidR="00CD484C" w:rsidRDefault="00CD484C">
      <w:pPr>
        <w:ind w:firstLine="397"/>
        <w:jc w:val="both"/>
        <w:rPr>
          <w:sz w:val="20"/>
          <w:szCs w:val="16"/>
        </w:rPr>
      </w:pPr>
      <w:r>
        <w:rPr>
          <w:i/>
          <w:iCs/>
          <w:sz w:val="20"/>
          <w:szCs w:val="16"/>
        </w:rPr>
        <w:t>Юсупов X.</w:t>
      </w:r>
      <w:r>
        <w:rPr>
          <w:sz w:val="20"/>
          <w:szCs w:val="16"/>
        </w:rPr>
        <w:t xml:space="preserve"> Древности Узбоя. Ашхабад: Ылым, 1989. – 223 с.</w:t>
      </w:r>
    </w:p>
    <w:p w14:paraId="0E50BDFB" w14:textId="400B76E7" w:rsidR="00CD484C" w:rsidRDefault="00395416">
      <w:pPr>
        <w:ind w:firstLine="397"/>
        <w:jc w:val="both"/>
        <w:rPr>
          <w:sz w:val="20"/>
          <w:szCs w:val="16"/>
        </w:rPr>
      </w:pPr>
      <w:r>
        <w:rPr>
          <w:i/>
          <w:iCs/>
          <w:noProof/>
          <w:sz w:val="20"/>
          <w:szCs w:val="16"/>
        </w:rPr>
        <mc:AlternateContent>
          <mc:Choice Requires="wps">
            <w:drawing>
              <wp:anchor distT="0" distB="0" distL="114300" distR="114300" simplePos="0" relativeHeight="251692544" behindDoc="0" locked="1" layoutInCell="1" allowOverlap="1" wp14:anchorId="08D1D5D1" wp14:editId="013A98FB">
                <wp:simplePos x="0" y="0"/>
                <wp:positionH relativeFrom="column">
                  <wp:posOffset>0</wp:posOffset>
                </wp:positionH>
                <wp:positionV relativeFrom="paragraph">
                  <wp:posOffset>-1567180</wp:posOffset>
                </wp:positionV>
                <wp:extent cx="4095750" cy="186690"/>
                <wp:effectExtent l="0" t="1905" r="3810" b="1905"/>
                <wp:wrapNone/>
                <wp:docPr id="800528896"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50F08"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5F0E6E49" w14:textId="77777777" w:rsidR="00AE2133" w:rsidRDefault="00AE2133">
                            <w:pPr>
                              <w:rPr>
                                <w:b/>
                                <w:bCs/>
                                <w:sz w:val="2"/>
                                <w:u w:val="singl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1D5D1" id="Text Box 254" o:spid="_x0000_s1097" type="#_x0000_t202" style="position:absolute;left:0;text-align:left;margin-left:0;margin-top:-123.4pt;width:322.5pt;height:14.7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" stroked="f">
                <v:textbox inset="0,0,0,0">
                  <w:txbxContent>
                    <w:p w14:paraId="0AB50F08" w14:textId="77777777" w:rsidR="00AE2133" w:rsidRDefault="00AE2133">
                      <w:pPr>
                        <w:pStyle w:val="a3"/>
                        <w:spacing w:before="0" w:after="0"/>
                        <w:rPr>
                          <w:szCs w:val="24"/>
                          <w:u w:val="single"/>
                        </w:rPr>
                      </w:pPr>
                      <w:r>
                        <w:rPr>
                          <w:szCs w:val="24"/>
                          <w:u w:val="single"/>
                        </w:rPr>
                        <w:t xml:space="preserve">                                               Литература               </w:t>
                      </w:r>
                      <w:r>
                        <w:rPr>
                          <w:szCs w:val="24"/>
                          <w:u w:val="single"/>
                        </w:rPr>
                        <w:tab/>
                        <w:t xml:space="preserve">                         </w:t>
                      </w:r>
                      <w:r>
                        <w:rPr>
                          <w:szCs w:val="24"/>
                          <w:u w:val="single"/>
                        </w:rPr>
                        <w:tab/>
                        <w:t xml:space="preserve">        </w:t>
                      </w:r>
                    </w:p>
                    <w:p w14:paraId="5F0E6E49" w14:textId="77777777" w:rsidR="00AE2133" w:rsidRDefault="00AE2133">
                      <w:pPr>
                        <w:rPr>
                          <w:b/>
                          <w:bCs/>
                          <w:sz w:val="2"/>
                          <w:u w:val="single"/>
                        </w:rPr>
                      </w:pPr>
                    </w:p>
                  </w:txbxContent>
                </v:textbox>
                <w10:anchorlock/>
              </v:shape>
            </w:pict>
          </mc:Fallback>
        </mc:AlternateContent>
      </w:r>
      <w:r w:rsidR="00CD484C">
        <w:rPr>
          <w:i/>
          <w:iCs/>
          <w:sz w:val="20"/>
          <w:szCs w:val="16"/>
        </w:rPr>
        <w:t>Якубовский А.Ю.</w:t>
      </w:r>
      <w:r w:rsidR="00CD484C">
        <w:rPr>
          <w:sz w:val="20"/>
          <w:szCs w:val="16"/>
        </w:rPr>
        <w:t xml:space="preserve"> Ибн Мискавейх о походе русов в Берда в 333 году – 943/944 г. // ВВ. Т. 1926. 24. – С. 63–92.</w:t>
      </w:r>
    </w:p>
    <w:p w14:paraId="4A94FFA7" w14:textId="77777777" w:rsidR="00CD484C" w:rsidRDefault="00CD484C">
      <w:pPr>
        <w:ind w:firstLine="397"/>
        <w:jc w:val="both"/>
        <w:rPr>
          <w:sz w:val="20"/>
          <w:szCs w:val="16"/>
        </w:rPr>
      </w:pPr>
      <w:r>
        <w:rPr>
          <w:i/>
          <w:iCs/>
          <w:sz w:val="20"/>
          <w:szCs w:val="16"/>
        </w:rPr>
        <w:t>Янин В.Л.</w:t>
      </w:r>
      <w:r>
        <w:rPr>
          <w:sz w:val="20"/>
          <w:szCs w:val="16"/>
        </w:rPr>
        <w:t xml:space="preserve"> Денежно-весовые системы русского средневековья. Домонгольский период. М.: МГУ. 207 с.</w:t>
      </w:r>
    </w:p>
    <w:p w14:paraId="51208FB8" w14:textId="77777777" w:rsidR="00CD484C" w:rsidRDefault="00CD484C">
      <w:pPr>
        <w:ind w:firstLine="397"/>
        <w:jc w:val="both"/>
        <w:rPr>
          <w:sz w:val="20"/>
          <w:szCs w:val="16"/>
        </w:rPr>
      </w:pPr>
      <w:r>
        <w:rPr>
          <w:i/>
          <w:iCs/>
          <w:sz w:val="20"/>
          <w:szCs w:val="16"/>
        </w:rPr>
        <w:t>Янин В.Л.</w:t>
      </w:r>
      <w:r>
        <w:rPr>
          <w:sz w:val="20"/>
          <w:szCs w:val="16"/>
        </w:rPr>
        <w:t xml:space="preserve"> К проблеме интеграции в изучении вещественных и письменных источников по истории русского средневековья // История СССР. № 3. 1973. – С. 67–78.</w:t>
      </w:r>
    </w:p>
    <w:p w14:paraId="69366ED1" w14:textId="77777777" w:rsidR="00CD484C" w:rsidRDefault="00CD484C">
      <w:pPr>
        <w:ind w:firstLine="397"/>
        <w:jc w:val="both"/>
        <w:rPr>
          <w:sz w:val="20"/>
          <w:szCs w:val="16"/>
        </w:rPr>
      </w:pPr>
      <w:r>
        <w:rPr>
          <w:i/>
          <w:iCs/>
          <w:sz w:val="20"/>
          <w:szCs w:val="16"/>
        </w:rPr>
        <w:t>Янин В.Л. Гайдуков П.Г.</w:t>
      </w:r>
      <w:r>
        <w:rPr>
          <w:sz w:val="20"/>
          <w:szCs w:val="16"/>
        </w:rPr>
        <w:t xml:space="preserve"> Новгородский клад западноевропейских и византийских монет Х-первой половины XI в. // ДГ 1994 год М.: Археографический центр, 1996. – С. 151–170.</w:t>
      </w:r>
    </w:p>
    <w:p w14:paraId="6846341F" w14:textId="77777777" w:rsidR="00CD484C" w:rsidRDefault="00CD484C">
      <w:pPr>
        <w:ind w:firstLine="397"/>
        <w:jc w:val="both"/>
        <w:rPr>
          <w:sz w:val="20"/>
          <w:szCs w:val="16"/>
        </w:rPr>
      </w:pPr>
      <w:r>
        <w:rPr>
          <w:i/>
          <w:iCs/>
          <w:sz w:val="20"/>
          <w:szCs w:val="16"/>
        </w:rPr>
        <w:t>Янина С.А.</w:t>
      </w:r>
      <w:r>
        <w:rPr>
          <w:sz w:val="20"/>
          <w:szCs w:val="16"/>
        </w:rPr>
        <w:t xml:space="preserve"> Неревский клад куфических монет Х в. // МИА. 1956. – </w:t>
      </w:r>
      <w:r>
        <w:rPr>
          <w:sz w:val="20"/>
          <w:szCs w:val="16"/>
        </w:rPr>
        <w:br/>
        <w:t>№ 55. – С.187–207.</w:t>
      </w:r>
    </w:p>
    <w:p w14:paraId="684A6E30" w14:textId="77777777" w:rsidR="00CD484C" w:rsidRDefault="00CD484C">
      <w:pPr>
        <w:ind w:firstLine="397"/>
        <w:jc w:val="both"/>
        <w:rPr>
          <w:sz w:val="20"/>
          <w:szCs w:val="16"/>
        </w:rPr>
      </w:pPr>
      <w:r>
        <w:rPr>
          <w:i/>
          <w:iCs/>
          <w:sz w:val="20"/>
          <w:szCs w:val="16"/>
        </w:rPr>
        <w:t>Янина С.А.</w:t>
      </w:r>
      <w:r>
        <w:rPr>
          <w:sz w:val="20"/>
          <w:szCs w:val="16"/>
        </w:rPr>
        <w:t xml:space="preserve"> Куфические монеты из могильника Мыдлань-шай // ВАУ. Вып. 3. Свердловск, 1962. – С. 120–135.</w:t>
      </w:r>
    </w:p>
    <w:p w14:paraId="0A721AFB" w14:textId="77777777" w:rsidR="00CD484C" w:rsidRDefault="00CD484C">
      <w:pPr>
        <w:ind w:firstLine="397"/>
        <w:jc w:val="both"/>
        <w:rPr>
          <w:sz w:val="20"/>
          <w:szCs w:val="16"/>
        </w:rPr>
      </w:pPr>
      <w:r>
        <w:rPr>
          <w:i/>
          <w:iCs/>
          <w:sz w:val="20"/>
          <w:szCs w:val="16"/>
        </w:rPr>
        <w:t>Янина С.А.</w:t>
      </w:r>
      <w:r>
        <w:rPr>
          <w:sz w:val="20"/>
          <w:szCs w:val="16"/>
        </w:rPr>
        <w:t xml:space="preserve"> Второй Неревский клад куфических монет Х в. / МИА. 1962а. – № 117. – С. 287–331.</w:t>
      </w:r>
    </w:p>
    <w:p w14:paraId="5681C61B" w14:textId="77777777" w:rsidR="00CD484C" w:rsidRDefault="00CD484C">
      <w:pPr>
        <w:ind w:firstLine="397"/>
        <w:jc w:val="both"/>
        <w:rPr>
          <w:sz w:val="20"/>
          <w:szCs w:val="16"/>
        </w:rPr>
      </w:pPr>
      <w:r>
        <w:rPr>
          <w:i/>
          <w:iCs/>
          <w:sz w:val="20"/>
          <w:szCs w:val="16"/>
        </w:rPr>
        <w:t>Янина С.А.</w:t>
      </w:r>
      <w:r>
        <w:rPr>
          <w:sz w:val="20"/>
          <w:szCs w:val="16"/>
        </w:rPr>
        <w:t xml:space="preserve"> Новые данные о монетном чекане волжских булгар в Х в. // МИА. 1962б. – № 111. – С. 129–196.</w:t>
      </w:r>
    </w:p>
    <w:p w14:paraId="4B99D91E" w14:textId="77777777" w:rsidR="00CD484C" w:rsidRDefault="00CD484C">
      <w:pPr>
        <w:ind w:firstLine="397"/>
        <w:jc w:val="both"/>
        <w:rPr>
          <w:sz w:val="20"/>
          <w:szCs w:val="16"/>
        </w:rPr>
      </w:pPr>
      <w:r>
        <w:rPr>
          <w:i/>
          <w:iCs/>
          <w:sz w:val="20"/>
          <w:szCs w:val="16"/>
        </w:rPr>
        <w:t>Arne T.J.</w:t>
      </w:r>
      <w:r>
        <w:rPr>
          <w:sz w:val="20"/>
          <w:szCs w:val="16"/>
        </w:rPr>
        <w:t xml:space="preserve"> Le Swede et l’Orient. Upsula. 1914. – 251 p.</w:t>
      </w:r>
    </w:p>
    <w:p w14:paraId="682B2F89" w14:textId="77777777" w:rsidR="00CD484C" w:rsidRDefault="00CD484C">
      <w:pPr>
        <w:ind w:firstLine="397"/>
        <w:jc w:val="both"/>
        <w:rPr>
          <w:sz w:val="20"/>
          <w:szCs w:val="16"/>
        </w:rPr>
      </w:pPr>
      <w:r>
        <w:rPr>
          <w:i/>
          <w:iCs/>
          <w:sz w:val="20"/>
          <w:szCs w:val="16"/>
        </w:rPr>
        <w:t>Callmer J.</w:t>
      </w:r>
      <w:r>
        <w:rPr>
          <w:sz w:val="20"/>
          <w:szCs w:val="16"/>
        </w:rPr>
        <w:t xml:space="preserve"> Trade beats and trade bead in Scandinavia ca 800-1000 A.D. Malmo. (Acta archaeologia ludensia. Series in 4°. Nr 11). 1977. – 230 p.</w:t>
      </w:r>
    </w:p>
    <w:p w14:paraId="5BCB7A3A" w14:textId="77777777" w:rsidR="00CD484C" w:rsidRDefault="00CD484C">
      <w:pPr>
        <w:ind w:firstLine="397"/>
        <w:jc w:val="both"/>
        <w:rPr>
          <w:sz w:val="20"/>
          <w:szCs w:val="16"/>
        </w:rPr>
      </w:pPr>
      <w:r>
        <w:rPr>
          <w:i/>
          <w:iCs/>
          <w:sz w:val="20"/>
          <w:szCs w:val="16"/>
        </w:rPr>
        <w:t>Die Kultur</w:t>
      </w:r>
      <w:r>
        <w:rPr>
          <w:sz w:val="20"/>
          <w:szCs w:val="16"/>
        </w:rPr>
        <w:t xml:space="preserve"> des Islams. Frankfurt am Main: Athanaion. 1971. 482 s.</w:t>
      </w:r>
    </w:p>
    <w:p w14:paraId="281CECA5" w14:textId="77777777" w:rsidR="00CD484C" w:rsidRDefault="00CD484C">
      <w:pPr>
        <w:ind w:firstLine="397"/>
        <w:jc w:val="both"/>
        <w:rPr>
          <w:sz w:val="20"/>
          <w:szCs w:val="16"/>
        </w:rPr>
      </w:pPr>
      <w:r>
        <w:rPr>
          <w:i/>
          <w:iCs/>
          <w:sz w:val="20"/>
          <w:szCs w:val="16"/>
        </w:rPr>
        <w:t>Franklin S., Shepard J.</w:t>
      </w:r>
      <w:r>
        <w:rPr>
          <w:sz w:val="20"/>
          <w:szCs w:val="16"/>
        </w:rPr>
        <w:t xml:space="preserve"> The Emergence of Rus. 750-1200. L.-N.Y: Longmon. 1998. – 450 p.  </w:t>
      </w:r>
    </w:p>
    <w:p w14:paraId="78AF4D28" w14:textId="77777777" w:rsidR="00CD484C" w:rsidRDefault="00CD484C">
      <w:pPr>
        <w:ind w:firstLine="397"/>
        <w:jc w:val="both"/>
        <w:rPr>
          <w:sz w:val="20"/>
          <w:szCs w:val="16"/>
        </w:rPr>
      </w:pPr>
      <w:r>
        <w:rPr>
          <w:i/>
          <w:iCs/>
          <w:sz w:val="20"/>
          <w:szCs w:val="16"/>
        </w:rPr>
        <w:t>Encyclopedia Iranica.</w:t>
      </w:r>
      <w:r>
        <w:rPr>
          <w:sz w:val="20"/>
          <w:szCs w:val="16"/>
        </w:rPr>
        <w:t xml:space="preserve"> Ed. By E.Yarshater. Vol. X. N.Y.: Biblioteca Persian Press, 2001. – 872 p.</w:t>
      </w:r>
    </w:p>
    <w:p w14:paraId="782FE1DA" w14:textId="77777777" w:rsidR="00CD484C" w:rsidRDefault="00CD484C">
      <w:pPr>
        <w:ind w:firstLine="397"/>
        <w:jc w:val="both"/>
        <w:rPr>
          <w:sz w:val="20"/>
          <w:szCs w:val="16"/>
        </w:rPr>
      </w:pPr>
      <w:r>
        <w:rPr>
          <w:i/>
          <w:iCs/>
          <w:sz w:val="20"/>
          <w:szCs w:val="16"/>
        </w:rPr>
        <w:t>Goldina R.D., Nikitin A.B.</w:t>
      </w:r>
      <w:r>
        <w:rPr>
          <w:sz w:val="20"/>
          <w:szCs w:val="16"/>
        </w:rPr>
        <w:t xml:space="preserve"> New finds of Sassanian, Central Asian and Byzantian coins from region Perm, the Kama-Urals area || Studiis in Silk Road coins and culture. Kamakura. 1997.</w:t>
      </w:r>
    </w:p>
    <w:p w14:paraId="5FF85ECE" w14:textId="77777777" w:rsidR="00CD484C" w:rsidRDefault="00CD484C">
      <w:pPr>
        <w:ind w:firstLine="397"/>
        <w:jc w:val="both"/>
        <w:rPr>
          <w:sz w:val="20"/>
          <w:szCs w:val="16"/>
        </w:rPr>
      </w:pPr>
      <w:r>
        <w:rPr>
          <w:i/>
          <w:iCs/>
          <w:sz w:val="20"/>
          <w:szCs w:val="16"/>
        </w:rPr>
        <w:t>Hinz W.</w:t>
      </w:r>
      <w:r>
        <w:rPr>
          <w:sz w:val="20"/>
          <w:szCs w:val="16"/>
        </w:rPr>
        <w:t xml:space="preserve"> Islamiche masse und gewichte ungerechnet ins metrishe system. Leiden: E.J. Brill, 1955. – 66 s.</w:t>
      </w:r>
    </w:p>
    <w:p w14:paraId="5659F35B" w14:textId="77777777" w:rsidR="00CD484C" w:rsidRDefault="00CD484C">
      <w:pPr>
        <w:ind w:firstLine="397"/>
        <w:jc w:val="both"/>
        <w:rPr>
          <w:sz w:val="20"/>
          <w:szCs w:val="16"/>
        </w:rPr>
      </w:pPr>
      <w:r>
        <w:rPr>
          <w:i/>
          <w:iCs/>
          <w:sz w:val="20"/>
          <w:szCs w:val="16"/>
        </w:rPr>
        <w:t>Jakson T.N.</w:t>
      </w:r>
      <w:r>
        <w:rPr>
          <w:sz w:val="20"/>
          <w:szCs w:val="16"/>
        </w:rPr>
        <w:t xml:space="preserve"> Location of Bjarmaland // Suomen varhaistoria Tornion Congressi 14-16.1991. (Studio Historica septentrionalia, 21). Rovaniemi. 1992.</w:t>
      </w:r>
    </w:p>
    <w:p w14:paraId="53D9C0D3" w14:textId="77777777" w:rsidR="00CD484C" w:rsidRDefault="00CD484C">
      <w:pPr>
        <w:ind w:firstLine="397"/>
        <w:jc w:val="both"/>
        <w:rPr>
          <w:sz w:val="20"/>
          <w:szCs w:val="16"/>
        </w:rPr>
      </w:pPr>
      <w:r>
        <w:rPr>
          <w:i/>
          <w:iCs/>
          <w:sz w:val="20"/>
          <w:szCs w:val="16"/>
        </w:rPr>
        <w:lastRenderedPageBreak/>
        <w:t>Khan N.A.</w:t>
      </w:r>
      <w:r>
        <w:rPr>
          <w:sz w:val="20"/>
          <w:szCs w:val="16"/>
        </w:rPr>
        <w:t xml:space="preserve"> The First trascontinental race of the Eastern coins to Europe //  6th Annual Meeting Europen association of archaeologists. Final programme and Аbstracts. Lisbou. P. 220–221.</w:t>
      </w:r>
    </w:p>
    <w:p w14:paraId="63C74587" w14:textId="77777777" w:rsidR="00CD484C" w:rsidRDefault="00CD484C">
      <w:pPr>
        <w:ind w:firstLine="397"/>
        <w:jc w:val="both"/>
        <w:rPr>
          <w:sz w:val="20"/>
          <w:szCs w:val="16"/>
        </w:rPr>
      </w:pPr>
      <w:r>
        <w:rPr>
          <w:i/>
          <w:iCs/>
          <w:sz w:val="20"/>
          <w:szCs w:val="16"/>
        </w:rPr>
        <w:t>Khan N.A.</w:t>
      </w:r>
      <w:r>
        <w:rPr>
          <w:sz w:val="20"/>
          <w:szCs w:val="16"/>
        </w:rPr>
        <w:t xml:space="preserve"> Visu: The problem of location // Abstracts books: 8th Annual Meeting European Association of Archaeologists. – Thessaloniki: Hellas, 2002. – P. 263–264.</w:t>
      </w:r>
    </w:p>
    <w:p w14:paraId="6EC334F1" w14:textId="77777777" w:rsidR="00CD484C" w:rsidRDefault="00CD484C">
      <w:pPr>
        <w:ind w:firstLine="397"/>
        <w:jc w:val="both"/>
        <w:rPr>
          <w:sz w:val="20"/>
          <w:szCs w:val="16"/>
        </w:rPr>
      </w:pPr>
      <w:r>
        <w:rPr>
          <w:i/>
          <w:iCs/>
          <w:sz w:val="20"/>
          <w:szCs w:val="16"/>
        </w:rPr>
        <w:t>Kovalev R.K.</w:t>
      </w:r>
      <w:r>
        <w:rPr>
          <w:sz w:val="20"/>
          <w:szCs w:val="16"/>
        </w:rPr>
        <w:t xml:space="preserve"> Клад дирхемов 913/914 гг. из деревни Пальцево Тверской губернии // Клады: состав, хронология, интерпретация. Материалы тематической научн.конференции. СПб, 2002. – С. 160–164.</w:t>
      </w:r>
    </w:p>
    <w:p w14:paraId="51D2E6C7" w14:textId="77777777" w:rsidR="00CD484C" w:rsidRDefault="00CD484C">
      <w:pPr>
        <w:ind w:firstLine="397"/>
        <w:jc w:val="both"/>
        <w:rPr>
          <w:sz w:val="20"/>
          <w:szCs w:val="16"/>
        </w:rPr>
      </w:pPr>
      <w:r>
        <w:rPr>
          <w:i/>
          <w:iCs/>
          <w:sz w:val="20"/>
          <w:szCs w:val="16"/>
        </w:rPr>
        <w:t>Le Strange G.</w:t>
      </w:r>
      <w:r>
        <w:rPr>
          <w:sz w:val="20"/>
          <w:szCs w:val="16"/>
        </w:rPr>
        <w:t xml:space="preserve"> The lands of Eastern Califate. Mesopotamia, Persia, and Central Asia from Moslem conguest to the time to Timur. N.Y.: Barnes &amp;  Noble, Inc, 1873. The third Impression. 1966. – 536 p.</w:t>
      </w:r>
    </w:p>
    <w:p w14:paraId="22EC496B" w14:textId="77777777" w:rsidR="00CD484C" w:rsidRDefault="00CD484C">
      <w:pPr>
        <w:ind w:firstLine="397"/>
        <w:jc w:val="both"/>
        <w:rPr>
          <w:sz w:val="20"/>
          <w:szCs w:val="16"/>
        </w:rPr>
      </w:pPr>
      <w:r>
        <w:rPr>
          <w:i/>
          <w:iCs/>
          <w:sz w:val="20"/>
          <w:szCs w:val="16"/>
        </w:rPr>
        <w:t>Noonan Th. S.</w:t>
      </w:r>
      <w:r>
        <w:rPr>
          <w:sz w:val="20"/>
          <w:szCs w:val="16"/>
        </w:rPr>
        <w:t xml:space="preserve"> Why the Viking first come in Russia // Jahrueher fuer geschichte Osteuropas. 34. Heft.3. 1986. – P. 321–348.</w:t>
      </w:r>
    </w:p>
    <w:p w14:paraId="5DC961A4" w14:textId="77777777" w:rsidR="00CD484C" w:rsidRDefault="00CD484C">
      <w:pPr>
        <w:tabs>
          <w:tab w:val="left" w:pos="567"/>
          <w:tab w:val="left" w:pos="2268"/>
          <w:tab w:val="left" w:pos="2694"/>
        </w:tabs>
        <w:ind w:firstLine="397"/>
        <w:jc w:val="both"/>
        <w:rPr>
          <w:sz w:val="20"/>
          <w:szCs w:val="16"/>
        </w:rPr>
      </w:pPr>
      <w:r>
        <w:rPr>
          <w:i/>
          <w:iCs/>
          <w:sz w:val="20"/>
          <w:szCs w:val="16"/>
        </w:rPr>
        <w:t>Noonan Th.</w:t>
      </w:r>
      <w:r>
        <w:rPr>
          <w:sz w:val="20"/>
          <w:szCs w:val="16"/>
        </w:rPr>
        <w:t xml:space="preserve">  Byzantium and khazars: a special relationship ? // Byzantium diplomacy. Papars from the  Twenty-fourth Spring Sympozium of Byzantine Studidies. Ed. By J.Shepard and S.Franklin. Variorum. 1992. – P. 109–133.</w:t>
      </w:r>
    </w:p>
    <w:p w14:paraId="11B3AD44" w14:textId="77777777" w:rsidR="00CD484C" w:rsidRDefault="00CD484C">
      <w:pPr>
        <w:ind w:firstLine="397"/>
        <w:jc w:val="both"/>
        <w:rPr>
          <w:sz w:val="20"/>
          <w:szCs w:val="16"/>
        </w:rPr>
      </w:pPr>
      <w:r>
        <w:rPr>
          <w:i/>
          <w:iCs/>
          <w:sz w:val="20"/>
          <w:szCs w:val="16"/>
        </w:rPr>
        <w:t>Noonan Th.S.</w:t>
      </w:r>
      <w:r>
        <w:rPr>
          <w:sz w:val="20"/>
          <w:szCs w:val="16"/>
        </w:rPr>
        <w:t xml:space="preserve"> The impact of the islamic trade upon urbanization in the Rus’Lands: The Tenth and early eleventh centuries //  Les centres proto-urbains ruses entre Scandinavie, Byzance et Orient. Paris. 2000. – P. 379–393.</w:t>
      </w:r>
    </w:p>
    <w:p w14:paraId="350AD7A1" w14:textId="77777777" w:rsidR="00CD484C" w:rsidRDefault="00CD484C">
      <w:pPr>
        <w:ind w:firstLine="397"/>
        <w:jc w:val="both"/>
        <w:rPr>
          <w:sz w:val="20"/>
          <w:szCs w:val="16"/>
        </w:rPr>
      </w:pPr>
      <w:r>
        <w:rPr>
          <w:i/>
          <w:iCs/>
          <w:sz w:val="20"/>
          <w:szCs w:val="16"/>
        </w:rPr>
        <w:t>Nosov E.N.</w:t>
      </w:r>
      <w:r>
        <w:rPr>
          <w:sz w:val="20"/>
          <w:szCs w:val="16"/>
        </w:rPr>
        <w:t xml:space="preserve"> Typology for Towns on the River Volkhov: The Formation of an Early Medivial Centre in Northen Russian // Novgorod: the Arcaeology of a Russian  Medieval City and its Hinterland. Ed. By M.Brisbane and D.Gaimsten. London: British Museum, 2001. – P. 5–11.</w:t>
      </w:r>
    </w:p>
    <w:p w14:paraId="7BFF11BA" w14:textId="77777777" w:rsidR="00CD484C" w:rsidRDefault="00CD484C">
      <w:pPr>
        <w:ind w:firstLine="397"/>
        <w:jc w:val="both"/>
        <w:rPr>
          <w:sz w:val="20"/>
          <w:szCs w:val="16"/>
        </w:rPr>
      </w:pPr>
      <w:r>
        <w:rPr>
          <w:i/>
          <w:iCs/>
          <w:sz w:val="20"/>
          <w:szCs w:val="16"/>
        </w:rPr>
        <w:t>Spuler B.</w:t>
      </w:r>
      <w:r>
        <w:rPr>
          <w:sz w:val="20"/>
          <w:szCs w:val="16"/>
        </w:rPr>
        <w:t xml:space="preserve"> Geschihte der islamishen Lader. Leiden: E.J. Brill. 135 s.</w:t>
      </w:r>
    </w:p>
    <w:p w14:paraId="03580F66" w14:textId="77777777" w:rsidR="00CD484C" w:rsidRDefault="00CD484C">
      <w:pPr>
        <w:ind w:firstLine="397"/>
        <w:jc w:val="both"/>
        <w:rPr>
          <w:sz w:val="20"/>
          <w:szCs w:val="16"/>
        </w:rPr>
      </w:pPr>
      <w:r>
        <w:rPr>
          <w:i/>
          <w:iCs/>
          <w:sz w:val="20"/>
          <w:szCs w:val="16"/>
        </w:rPr>
        <w:t>Stenberger M.</w:t>
      </w:r>
      <w:r>
        <w:rPr>
          <w:sz w:val="20"/>
          <w:szCs w:val="16"/>
        </w:rPr>
        <w:t xml:space="preserve"> Vergeschichte Schwedas. Berlin: Akademie Verlag. 1977. – 545 s.</w:t>
      </w:r>
    </w:p>
    <w:p w14:paraId="64537539" w14:textId="77777777" w:rsidR="00CD484C" w:rsidRDefault="00CD484C">
      <w:pPr>
        <w:tabs>
          <w:tab w:val="left" w:pos="4875"/>
        </w:tabs>
        <w:ind w:firstLine="397"/>
        <w:jc w:val="both"/>
        <w:rPr>
          <w:sz w:val="20"/>
          <w:szCs w:val="16"/>
        </w:rPr>
      </w:pPr>
      <w:r>
        <w:rPr>
          <w:i/>
          <w:iCs/>
          <w:sz w:val="20"/>
          <w:szCs w:val="16"/>
        </w:rPr>
        <w:t>Verma H.C.</w:t>
      </w:r>
      <w:r>
        <w:rPr>
          <w:sz w:val="20"/>
          <w:szCs w:val="16"/>
        </w:rPr>
        <w:t xml:space="preserve"> Medieval routs to India: Baghdad to Deili. A study of Trade and Military Routes. Calcutta: Nava Prokash, 1978. – 345 р.</w:t>
      </w:r>
    </w:p>
    <w:p w14:paraId="70C4FC3F" w14:textId="77777777" w:rsidR="00CD484C" w:rsidRDefault="00CD484C">
      <w:pPr>
        <w:ind w:firstLine="397"/>
        <w:jc w:val="both"/>
        <w:rPr>
          <w:spacing w:val="-4"/>
          <w:sz w:val="20"/>
          <w:szCs w:val="16"/>
        </w:rPr>
      </w:pPr>
      <w:r>
        <w:rPr>
          <w:i/>
          <w:iCs/>
          <w:spacing w:val="-4"/>
          <w:sz w:val="20"/>
          <w:szCs w:val="16"/>
        </w:rPr>
        <w:t>Zambaur E.</w:t>
      </w:r>
      <w:r>
        <w:rPr>
          <w:spacing w:val="-4"/>
          <w:sz w:val="20"/>
          <w:szCs w:val="16"/>
        </w:rPr>
        <w:t xml:space="preserve"> Die Münzpragungen des Islams. Zeitlich und ortlich geordnet. Hrsg. von Jaechel P. Bd.1. Wiesbaden: Frans Steiner Verlag Gmbh, 1968. – 376 s.</w:t>
      </w:r>
    </w:p>
    <w:p w14:paraId="500DF658" w14:textId="77777777" w:rsidR="00CD484C" w:rsidRDefault="00CD484C">
      <w:pPr>
        <w:ind w:firstLine="397"/>
        <w:jc w:val="both"/>
        <w:rPr>
          <w:sz w:val="20"/>
          <w:szCs w:val="16"/>
        </w:rPr>
      </w:pPr>
      <w:r>
        <w:rPr>
          <w:i/>
          <w:iCs/>
          <w:sz w:val="20"/>
          <w:szCs w:val="16"/>
        </w:rPr>
        <w:t>Zambaur E.</w:t>
      </w:r>
      <w:r>
        <w:rPr>
          <w:sz w:val="20"/>
          <w:szCs w:val="16"/>
        </w:rPr>
        <w:t xml:space="preserve"> Manuel de Geneologe et de Chronologie pour L’Histore L’Islam. Avec 20 Tableaux genalogique hors texte et 5 Cartes. Berlin: Thorman und Goectsch, 1955. – 388 s. (Neudruck der Ausgabe Hannover, 1927).</w:t>
      </w:r>
    </w:p>
    <w:p w14:paraId="42B078BE" w14:textId="77777777" w:rsidR="00CD484C" w:rsidRDefault="00CD484C">
      <w:pPr>
        <w:ind w:firstLine="397"/>
        <w:jc w:val="both"/>
        <w:rPr>
          <w:sz w:val="20"/>
          <w:szCs w:val="16"/>
        </w:rPr>
      </w:pPr>
    </w:p>
    <w:p w14:paraId="0714E4A6" w14:textId="77777777" w:rsidR="00CD484C" w:rsidRDefault="00CD484C">
      <w:pPr>
        <w:ind w:firstLine="397"/>
        <w:jc w:val="both"/>
        <w:rPr>
          <w:sz w:val="20"/>
          <w:szCs w:val="16"/>
        </w:rPr>
      </w:pPr>
    </w:p>
    <w:p w14:paraId="47945CB1" w14:textId="77777777" w:rsidR="00CD484C" w:rsidRDefault="00CD484C">
      <w:pPr>
        <w:ind w:firstLine="397"/>
        <w:jc w:val="both"/>
        <w:rPr>
          <w:sz w:val="20"/>
          <w:szCs w:val="16"/>
        </w:rPr>
      </w:pPr>
    </w:p>
    <w:p w14:paraId="21B4C878" w14:textId="77777777" w:rsidR="00CD484C" w:rsidRDefault="00CD484C">
      <w:pPr>
        <w:ind w:firstLine="397"/>
        <w:jc w:val="both"/>
        <w:rPr>
          <w:sz w:val="20"/>
          <w:szCs w:val="16"/>
        </w:rPr>
      </w:pPr>
    </w:p>
    <w:p w14:paraId="2F7B7917" w14:textId="77777777" w:rsidR="00CD484C" w:rsidRDefault="00CD484C">
      <w:pPr>
        <w:ind w:firstLine="397"/>
        <w:jc w:val="both"/>
        <w:rPr>
          <w:sz w:val="20"/>
          <w:szCs w:val="16"/>
        </w:rPr>
      </w:pPr>
    </w:p>
    <w:p w14:paraId="2EE12480" w14:textId="77777777" w:rsidR="00CD484C" w:rsidRDefault="00CD484C">
      <w:pPr>
        <w:ind w:firstLine="397"/>
        <w:jc w:val="both"/>
        <w:rPr>
          <w:sz w:val="20"/>
          <w:szCs w:val="16"/>
        </w:rPr>
      </w:pPr>
    </w:p>
    <w:p w14:paraId="0E41FE5F" w14:textId="77777777" w:rsidR="00CD484C" w:rsidRDefault="00CD484C">
      <w:pPr>
        <w:ind w:firstLine="397"/>
        <w:jc w:val="both"/>
        <w:rPr>
          <w:sz w:val="20"/>
          <w:szCs w:val="16"/>
        </w:rPr>
      </w:pPr>
    </w:p>
    <w:p w14:paraId="14C83B03" w14:textId="77777777" w:rsidR="00CD484C" w:rsidRDefault="00CD484C">
      <w:pPr>
        <w:ind w:firstLine="397"/>
        <w:jc w:val="both"/>
        <w:rPr>
          <w:sz w:val="20"/>
          <w:szCs w:val="16"/>
        </w:rPr>
      </w:pPr>
    </w:p>
    <w:p w14:paraId="608C93EA" w14:textId="77777777" w:rsidR="00CD484C" w:rsidRDefault="00CD484C">
      <w:pPr>
        <w:ind w:firstLine="397"/>
        <w:jc w:val="both"/>
        <w:rPr>
          <w:sz w:val="20"/>
          <w:szCs w:val="16"/>
        </w:rPr>
      </w:pPr>
    </w:p>
    <w:p w14:paraId="0C137032" w14:textId="77777777" w:rsidR="00CD484C" w:rsidRDefault="00CD484C">
      <w:pPr>
        <w:pStyle w:val="a3"/>
        <w:ind w:firstLine="397"/>
        <w:jc w:val="left"/>
        <w:rPr>
          <w:b w:val="0"/>
          <w:bCs w:val="0"/>
          <w:i/>
          <w:iCs/>
        </w:rPr>
      </w:pPr>
      <w:r>
        <w:rPr>
          <w:b w:val="0"/>
          <w:bCs w:val="0"/>
          <w:i/>
          <w:iCs/>
        </w:rPr>
        <w:t>SUMMARY.</w:t>
      </w:r>
    </w:p>
    <w:p w14:paraId="60C3EF20" w14:textId="77777777" w:rsidR="00CD484C" w:rsidRDefault="00CD484C">
      <w:pPr>
        <w:spacing w:after="120"/>
        <w:jc w:val="center"/>
        <w:rPr>
          <w:b/>
          <w:bCs/>
          <w:sz w:val="20"/>
          <w:szCs w:val="16"/>
        </w:rPr>
      </w:pPr>
      <w:r>
        <w:rPr>
          <w:b/>
          <w:bCs/>
          <w:sz w:val="20"/>
          <w:szCs w:val="16"/>
        </w:rPr>
        <w:t xml:space="preserve">SKETCH 1. THE FIRST TRANSCONTINENTAL ROUTE </w:t>
      </w:r>
      <w:r>
        <w:rPr>
          <w:b/>
          <w:bCs/>
          <w:sz w:val="20"/>
          <w:szCs w:val="16"/>
        </w:rPr>
        <w:br/>
        <w:t>of KUFICAL COINS INTO EUROPE</w:t>
      </w:r>
    </w:p>
    <w:p w14:paraId="57B98AF8" w14:textId="77777777" w:rsidR="00CD484C" w:rsidRDefault="00CD484C">
      <w:pPr>
        <w:ind w:firstLine="397"/>
        <w:jc w:val="both"/>
        <w:rPr>
          <w:spacing w:val="-4"/>
          <w:sz w:val="20"/>
          <w:szCs w:val="16"/>
        </w:rPr>
      </w:pPr>
      <w:r>
        <w:rPr>
          <w:spacing w:val="-4"/>
          <w:sz w:val="20"/>
          <w:szCs w:val="16"/>
        </w:rPr>
        <w:t xml:space="preserve">In the beginning of XX century east area fall of east, Byzantium silver, the monetary ingots, connected with basin of the rivers of Kama and Vjatka named Vjatsko-Kamskij area (VKA), testifying about concentration of the capital in the given area has been allocated. VKA as has concluded R.R. Vasmer, has been connected to Iran and up to IX century – time of intensive inflow and use in Europe kufical coins. V.F. Gening’s finds and in burial grounds VKA kufical coins of VIII century allow to establish of S.A. Janina, that there was an </w:t>
      </w:r>
      <w:r>
        <w:rPr>
          <w:spacing w:val="-4"/>
          <w:sz w:val="20"/>
          <w:szCs w:val="18"/>
        </w:rPr>
        <w:t xml:space="preserve">overland </w:t>
      </w:r>
      <w:r>
        <w:rPr>
          <w:spacing w:val="-4"/>
          <w:sz w:val="20"/>
          <w:szCs w:val="16"/>
        </w:rPr>
        <w:t xml:space="preserve">way of a coin to Europe, open east trade, according to V.L. Janin in VI century A.D.  </w:t>
      </w:r>
    </w:p>
    <w:p w14:paraId="04153EF6" w14:textId="77777777" w:rsidR="00CD484C" w:rsidRDefault="00CD484C">
      <w:pPr>
        <w:ind w:firstLine="397"/>
        <w:jc w:val="both"/>
        <w:rPr>
          <w:spacing w:val="-2"/>
          <w:sz w:val="20"/>
          <w:szCs w:val="16"/>
        </w:rPr>
      </w:pPr>
      <w:r>
        <w:rPr>
          <w:spacing w:val="-2"/>
          <w:sz w:val="20"/>
          <w:szCs w:val="16"/>
        </w:rPr>
        <w:t xml:space="preserve">The topography of kufical boards testifies, that in the beginning IX century Islamic dirham was distributed from Transcaucasia whereas on E.A. Pahomov and A.V. Fomin, all pulse of stamping of 70th years of VIII century has dropped out in Transcaucasia. Presence of the big number boards the beginnings IX the century which were dropped out in tsirkumbaltic zone and in a zone of the Big Caucasus, allows speaking about different ways of receipt of a coin on the given areas. The earliest monetary board of the East Europe, found in 1892 on the Old Ladoga with date of a latest coin (MM) of 170/786/-787 is connected by topography with monetary-ware board, found at Chumbarej vilage in Vjatka Region, where is present dirham of 782. Thus board of Old Ladoga 1892, has closed the large transcontinental route which has started in Mesopotamia. Supervision of numismatists of the different countries and have shown researches of archeologists, that Old Ladoga, known to Scandinavians as Aldeigja-Aldeigjuborg was not a terminal point, but a launching pad for the subsequent distribution of the Arabian coins on Baltic. The chronological structure /tabl.1/ the given amusement of monetary circulation which graphic display /fig.1/ is carried out proceeding from a dominant of a latest coin, directly speaks about constant inflow of money in Priladozhe. Exclusive studying of chronological structure Russian boards, the of V.L. Janin has persuasively shown, that the beginning of monetary circulation could not take place before import of an </w:t>
      </w:r>
      <w:r>
        <w:rPr>
          <w:spacing w:val="-2"/>
          <w:sz w:val="20"/>
          <w:szCs w:val="18"/>
        </w:rPr>
        <w:t xml:space="preserve">overseas </w:t>
      </w:r>
      <w:r>
        <w:rPr>
          <w:spacing w:val="-2"/>
          <w:sz w:val="20"/>
          <w:szCs w:val="16"/>
        </w:rPr>
        <w:t xml:space="preserve">coin that is incontestable </w:t>
      </w:r>
      <w:r>
        <w:rPr>
          <w:spacing w:val="-2"/>
          <w:sz w:val="20"/>
          <w:szCs w:val="16"/>
        </w:rPr>
        <w:lastRenderedPageBreak/>
        <w:t xml:space="preserve">argument for the benefit of dating boards on their latest coin. And import could not begin earlier 70–80th of VIII century A.D., having </w:t>
      </w:r>
      <w:r>
        <w:rPr>
          <w:spacing w:val="-2"/>
          <w:sz w:val="20"/>
          <w:szCs w:val="18"/>
        </w:rPr>
        <w:t xml:space="preserve">provided </w:t>
      </w:r>
      <w:r>
        <w:rPr>
          <w:spacing w:val="-2"/>
          <w:sz w:val="20"/>
          <w:szCs w:val="16"/>
        </w:rPr>
        <w:t xml:space="preserve">financial start of the Old Russian state – Empires of Rjurik. Proceeding from achievements of the numismatics, the given monetary stream submitted of the board of 1892 existed not less than third of century, </w:t>
      </w:r>
      <w:r>
        <w:rPr>
          <w:spacing w:val="-2"/>
          <w:sz w:val="20"/>
          <w:szCs w:val="18"/>
        </w:rPr>
        <w:t xml:space="preserve">providing </w:t>
      </w:r>
      <w:r>
        <w:rPr>
          <w:spacing w:val="-2"/>
          <w:sz w:val="20"/>
          <w:szCs w:val="16"/>
        </w:rPr>
        <w:t>needs for a currency of the population tsirkumbaltic area.</w:t>
      </w:r>
    </w:p>
    <w:p w14:paraId="3E1D284D" w14:textId="5A0369C1" w:rsidR="00CD484C" w:rsidRDefault="00395416">
      <w:pPr>
        <w:ind w:firstLine="397"/>
        <w:jc w:val="both"/>
        <w:rPr>
          <w:sz w:val="20"/>
          <w:szCs w:val="16"/>
        </w:rPr>
      </w:pPr>
      <w:r>
        <w:rPr>
          <w:noProof/>
          <w:sz w:val="20"/>
          <w:szCs w:val="16"/>
        </w:rPr>
        <mc:AlternateContent>
          <mc:Choice Requires="wps">
            <w:drawing>
              <wp:anchor distT="0" distB="0" distL="114300" distR="114300" simplePos="0" relativeHeight="251693568" behindDoc="0" locked="0" layoutInCell="1" allowOverlap="1" wp14:anchorId="750469D8" wp14:editId="01CE14DF">
                <wp:simplePos x="0" y="0"/>
                <wp:positionH relativeFrom="column">
                  <wp:posOffset>0</wp:posOffset>
                </wp:positionH>
                <wp:positionV relativeFrom="paragraph">
                  <wp:posOffset>-1104900</wp:posOffset>
                </wp:positionV>
                <wp:extent cx="4114800" cy="244475"/>
                <wp:effectExtent l="0" t="4445" r="2540" b="0"/>
                <wp:wrapNone/>
                <wp:docPr id="111857904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E34FB" id="Rectangle 257" o:spid="_x0000_s1026" style="position:absolute;margin-left:0;margin-top:-87pt;width:324pt;height:19.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" stroked="f"/>
            </w:pict>
          </mc:Fallback>
        </mc:AlternateContent>
      </w:r>
    </w:p>
    <w:p w14:paraId="7F9FF001" w14:textId="77777777" w:rsidR="00CD484C" w:rsidRDefault="00CD484C">
      <w:pPr>
        <w:spacing w:after="120"/>
        <w:jc w:val="center"/>
        <w:rPr>
          <w:b/>
          <w:bCs/>
          <w:sz w:val="20"/>
          <w:szCs w:val="16"/>
        </w:rPr>
      </w:pPr>
      <w:r>
        <w:rPr>
          <w:b/>
          <w:bCs/>
          <w:sz w:val="20"/>
          <w:szCs w:val="16"/>
        </w:rPr>
        <w:t>SKETCH 2</w:t>
      </w:r>
      <w:r>
        <w:rPr>
          <w:b/>
          <w:bCs/>
          <w:i/>
          <w:iCs/>
          <w:sz w:val="20"/>
          <w:szCs w:val="16"/>
        </w:rPr>
        <w:t xml:space="preserve"> </w:t>
      </w:r>
      <w:r>
        <w:rPr>
          <w:b/>
          <w:bCs/>
          <w:sz w:val="20"/>
          <w:szCs w:val="16"/>
        </w:rPr>
        <w:t xml:space="preserve">RECEIPT KUFICAL SILVER TO THE EAST EUROPE </w:t>
      </w:r>
      <w:r>
        <w:rPr>
          <w:b/>
          <w:bCs/>
          <w:sz w:val="20"/>
          <w:szCs w:val="16"/>
        </w:rPr>
        <w:br/>
        <w:t xml:space="preserve">IN X CENTURY (POTENTIAL OF THE DYNASTIC </w:t>
      </w:r>
      <w:r>
        <w:rPr>
          <w:b/>
          <w:bCs/>
          <w:sz w:val="20"/>
          <w:szCs w:val="16"/>
        </w:rPr>
        <w:br/>
        <w:t>AND CHRONOLOGICAL DISTRIBUTION)</w:t>
      </w:r>
    </w:p>
    <w:p w14:paraId="35C754FE" w14:textId="77777777" w:rsidR="00CD484C" w:rsidRDefault="00CD484C">
      <w:pPr>
        <w:ind w:firstLine="397"/>
        <w:jc w:val="both"/>
        <w:rPr>
          <w:sz w:val="20"/>
          <w:szCs w:val="16"/>
        </w:rPr>
      </w:pPr>
      <w:r>
        <w:rPr>
          <w:sz w:val="20"/>
          <w:szCs w:val="16"/>
        </w:rPr>
        <w:t>In the given sketch are considered boards, which have dropped out in territory of the Volzskaya Bulgaria. She was one of from the first monetary markets of the kufical dirham of the Europe. The Boards of the Xth centuries that here have found out are divided by periodization of Vasmer – Yanin on two period. A divider between them is «Silver crisis» in the East, connected with exhaustion Karamazar's mountains of mine in 960th years. Boards, dropped out in 20th years characterizes short chronological period about 20–30 years. They are submitted only Samanid’s dirhams, let out in Samarkand, as-Shash, &amp; Anderab.</w:t>
      </w:r>
    </w:p>
    <w:p w14:paraId="3B146D37" w14:textId="77777777" w:rsidR="00CD484C" w:rsidRDefault="00CD484C">
      <w:pPr>
        <w:ind w:firstLine="397"/>
        <w:jc w:val="both"/>
        <w:rPr>
          <w:sz w:val="20"/>
          <w:szCs w:val="16"/>
        </w:rPr>
      </w:pPr>
      <w:r>
        <w:rPr>
          <w:sz w:val="20"/>
          <w:szCs w:val="16"/>
        </w:rPr>
        <w:t xml:space="preserve">The data of numismatics do not allow asserting; that the territory of Hazaria was for Samanid's coin was a transit zone. Penetration coins of Samanids to Azerbaijan, since 316 give the basis for the assumption, that near the tsirkumkaspian zone in first half X century was in sphere influence of the Samarkand coin. The coin of another Samanid’s mint of as-Shash practically entirely by Yaksart River acted to average Volga. </w:t>
      </w:r>
    </w:p>
    <w:p w14:paraId="19AEA1C3" w14:textId="77777777" w:rsidR="00CD484C" w:rsidRDefault="00CD484C">
      <w:pPr>
        <w:pStyle w:val="21"/>
        <w:ind w:firstLine="397"/>
        <w:rPr>
          <w:lang w:val="ru-RU"/>
        </w:rPr>
      </w:pPr>
      <w:r>
        <w:rPr>
          <w:lang w:val="ru-RU"/>
        </w:rPr>
        <w:t>After «Silver crisis», boards have as short till 20 years, so long chronological periods (50–70 years). In boards of second half X centuries are absents coins Iranian Bujid's dynasty. That has allowed thanking geographical separation to establish monetary streams. For the first time it is paid attention, on three boards the Kazan province in which contains only coins of the given dynasty. Presence boards in which is present as Samanid's coins, and coins of Bujid's, allows to draw a conclusion that in the second half-fault of X century existed two general monetary streams from the Central Asia and from southern coast of Caspian sea. There are they sometimes mixed up and followed further in depth of continent in territory of the Voldjskaia Bulgaria.</w:t>
      </w:r>
    </w:p>
    <w:p w14:paraId="5B8073F4" w14:textId="77777777" w:rsidR="00CD484C" w:rsidRDefault="00CD484C">
      <w:pPr>
        <w:ind w:firstLine="397"/>
        <w:jc w:val="both"/>
        <w:rPr>
          <w:sz w:val="20"/>
          <w:szCs w:val="16"/>
        </w:rPr>
      </w:pPr>
    </w:p>
    <w:p w14:paraId="69ED47BB" w14:textId="77777777" w:rsidR="00CD484C" w:rsidRDefault="00CD484C">
      <w:pPr>
        <w:pStyle w:val="30"/>
        <w:spacing w:after="120"/>
        <w:ind w:left="0"/>
        <w:rPr>
          <w:b/>
          <w:bCs/>
          <w:sz w:val="20"/>
        </w:rPr>
      </w:pPr>
      <w:r>
        <w:rPr>
          <w:b/>
          <w:bCs/>
          <w:sz w:val="20"/>
        </w:rPr>
        <w:t xml:space="preserve">SKETCH 3. LEVELS of COMMUNICATIONS AND TYPES </w:t>
      </w:r>
      <w:r>
        <w:rPr>
          <w:b/>
          <w:bCs/>
          <w:sz w:val="20"/>
        </w:rPr>
        <w:br/>
        <w:t xml:space="preserve">of MONETARY DEPOSITS IN EUROPE AT THE END </w:t>
      </w:r>
      <w:r>
        <w:rPr>
          <w:b/>
          <w:bCs/>
          <w:sz w:val="20"/>
        </w:rPr>
        <w:br/>
        <w:t>OF IX – BEGINNING X cent</w:t>
      </w:r>
    </w:p>
    <w:p w14:paraId="4EE5C6F2" w14:textId="77777777" w:rsidR="00CD484C" w:rsidRDefault="00CD484C">
      <w:pPr>
        <w:ind w:firstLine="397"/>
        <w:jc w:val="both"/>
        <w:rPr>
          <w:sz w:val="20"/>
          <w:szCs w:val="16"/>
        </w:rPr>
      </w:pPr>
      <w:r>
        <w:rPr>
          <w:sz w:val="20"/>
          <w:szCs w:val="16"/>
        </w:rPr>
        <w:t xml:space="preserve">There are no boards of the end of IX century in the East Europe, which the historian-numismatist Th. Noonan connected with the first «silver crisis» has </w:t>
      </w:r>
      <w:r>
        <w:rPr>
          <w:sz w:val="20"/>
          <w:szCs w:val="16"/>
        </w:rPr>
        <w:lastRenderedPageBreak/>
        <w:t>been noticed. Studying of chronological structures of the boards with eastern coin has allowed allocating the certain types of monetary deposits on the basis of extreme of schedules. In boards, 912–914 years dated on the latest coin. Those are fixed for the period 900–910-е years (Fomin A.V., 1983. – Р. 81–83). In a sketch I have subjected to studying boards, which have dropped out in the second decade X cent. They have not been specially investigated still. According to E.A. Davidovitch, at the end of IX – beginning of Xth century in Maveranakhr with statement of Samand’s dynasty monetary stamping was based on a principle «al-marko», let out exclusively Dirham’s, known in numismatic as dirhams-ismaili. These coins in large quantity have captivated East, Northern and the Central Europe, were postponed in boards, having very narrow chronological range – as a rule, it did not exceed 20–25 years. It speaks that coins of the previous period already have been washed up from structure of monetary circulation, and receipt of coins – «ismaili» has been connected to need of the market. /Fig. 1/.</w:t>
      </w:r>
    </w:p>
    <w:p w14:paraId="600E0EF9" w14:textId="77777777" w:rsidR="00CD484C" w:rsidRDefault="00CD484C">
      <w:pPr>
        <w:ind w:firstLine="397"/>
        <w:jc w:val="both"/>
        <w:rPr>
          <w:sz w:val="20"/>
          <w:szCs w:val="16"/>
        </w:rPr>
      </w:pPr>
      <w:r>
        <w:rPr>
          <w:sz w:val="20"/>
          <w:szCs w:val="16"/>
        </w:rPr>
        <w:t>In a sketch on the basis of studying issue and chronological structures boards it is allocated two types of monetary deposits. Thus distribution by dynasty auxiliary value as more than 90% of structures boards are submitted by coins of Samanid’s stamping. On structure of the issue centers all considered boards characterizes practically double prevalence of coins ash-Shash in comparison with issue of the Samarkand’s mint, and, coins of the last in considered boards are present at a level of 25–28%. In that as time issue distribution has not affected, that looks unexpectedly enough, on chronological distribution. Have been investigated boards – Bogdanssky 1885, board from Kazan region 1840, Luzhki from Moscow suburbs of 1973, and also the chronological group of coins corresponding to chronology of Bogdansskiy boards (284–304 g.h.).  The board of Murom 1868 where coins of latest chronological group twice on the average exceeded previous chronological groups.</w:t>
      </w:r>
    </w:p>
    <w:p w14:paraId="1661573A" w14:textId="77777777" w:rsidR="00CD484C" w:rsidRDefault="00CD484C">
      <w:pPr>
        <w:ind w:firstLine="397"/>
        <w:jc w:val="both"/>
        <w:rPr>
          <w:spacing w:val="-2"/>
          <w:sz w:val="20"/>
          <w:szCs w:val="16"/>
        </w:rPr>
      </w:pPr>
      <w:r>
        <w:rPr>
          <w:spacing w:val="-2"/>
          <w:sz w:val="20"/>
          <w:szCs w:val="16"/>
        </w:rPr>
        <w:t xml:space="preserve">The second type boards is submitted by monuments in which latest chronological group coins concedes previous is Paltsevo from the Tver area of 1923 (Kovalev R., 2002), and board from site of ancient settlement Titchiha of 1965 from the Voronezh area. At the same proportions of issue structure. If boards the first type – boards, </w:t>
      </w:r>
      <w:r>
        <w:rPr>
          <w:iCs/>
          <w:spacing w:val="-2"/>
          <w:sz w:val="20"/>
          <w:szCs w:val="16"/>
        </w:rPr>
        <w:t>shows</w:t>
      </w:r>
      <w:r>
        <w:rPr>
          <w:spacing w:val="-2"/>
          <w:sz w:val="20"/>
          <w:szCs w:val="16"/>
        </w:rPr>
        <w:t xml:space="preserve"> itself a transit monetary stream, but boards of the second type represent deposits of internal monetary circulation. Presence boards, coins of the Samarkand’s mint containing only: the Red desant of 1970 th from of the Astrakhan area and Ivanovka from Bryansk area shows, that Samanids in the beginning of X century used two monetary markets for trade into the North.  At last, presence of issue sheaf Nishapur – Merv and Anderab – Balh in a number boards the East Europe, testifies to independent following coins of the named court yard to Europe. Thus, issue distribution has allowed allocating three levels of communications of mints of the Central Asia and Afghanistan with Europe and also three transits of coins «ismaili» on the North. /Fig. 1/. </w:t>
      </w:r>
    </w:p>
    <w:p w14:paraId="2F5C0DB5" w14:textId="77777777" w:rsidR="00CD484C" w:rsidRDefault="00CD484C">
      <w:pPr>
        <w:ind w:firstLine="397"/>
        <w:jc w:val="both"/>
        <w:rPr>
          <w:sz w:val="20"/>
          <w:szCs w:val="16"/>
        </w:rPr>
      </w:pPr>
      <w:r>
        <w:rPr>
          <w:sz w:val="20"/>
          <w:szCs w:val="16"/>
        </w:rPr>
        <w:lastRenderedPageBreak/>
        <w:t>In a sketch supervision is made, that issue of Bukhara has taken place in 193 y.h. and 293–295 y.h. They are presence in a boards of Europe are unique. It has allowed revealing a direction movement of coins where Bukhara dirkhams act in a role of an issue marker. It, probably, on typology is connected with boards, which are studied here. The monetary stream with early Bukhara coins has proceeded through Volga and has reached in Denmark and Sweden.</w:t>
      </w:r>
    </w:p>
    <w:p w14:paraId="7986B716" w14:textId="77777777" w:rsidR="00CD484C" w:rsidRDefault="00CD484C">
      <w:pPr>
        <w:ind w:firstLine="397"/>
        <w:jc w:val="both"/>
        <w:rPr>
          <w:sz w:val="20"/>
          <w:szCs w:val="16"/>
        </w:rPr>
      </w:pPr>
      <w:r>
        <w:rPr>
          <w:sz w:val="20"/>
          <w:szCs w:val="16"/>
        </w:rPr>
        <w:t>Development of typology of boards on the basis of date of the latest coin has allowed establishing a new graphic distribution, which differs that the latest chronological group of coins refers miscellaneous to the same group that precedes latest. Allocated dynamics has allowed showing perspectives of studying of the monetary market of Kiev for first half-fault Xth cent.</w:t>
      </w:r>
    </w:p>
    <w:p w14:paraId="402ABB22" w14:textId="77777777" w:rsidR="00CD484C" w:rsidRDefault="00CD484C">
      <w:pPr>
        <w:ind w:firstLine="397"/>
        <w:jc w:val="both"/>
        <w:rPr>
          <w:sz w:val="20"/>
          <w:szCs w:val="16"/>
        </w:rPr>
      </w:pPr>
    </w:p>
    <w:p w14:paraId="4259CFCF" w14:textId="77777777" w:rsidR="00CD484C" w:rsidRDefault="00CD484C">
      <w:pPr>
        <w:pStyle w:val="a7"/>
        <w:spacing w:after="120"/>
        <w:ind w:firstLine="0"/>
        <w:jc w:val="center"/>
        <w:rPr>
          <w:b/>
          <w:bCs/>
          <w:sz w:val="20"/>
          <w:szCs w:val="16"/>
          <w:lang w:val="ru-RU"/>
        </w:rPr>
      </w:pPr>
      <w:r>
        <w:rPr>
          <w:b/>
          <w:bCs/>
          <w:sz w:val="20"/>
          <w:szCs w:val="16"/>
          <w:lang w:val="ru-RU"/>
        </w:rPr>
        <w:t xml:space="preserve">SKETCH 4. TRANSCAUCASIAN BOARDS OF KUFICAL COINS </w:t>
      </w:r>
      <w:r>
        <w:rPr>
          <w:b/>
          <w:bCs/>
          <w:sz w:val="20"/>
          <w:szCs w:val="16"/>
          <w:lang w:val="ru-RU"/>
        </w:rPr>
        <w:br/>
        <w:t xml:space="preserve">OF FIRST HALF H CENTURY (EXPERIENCE OF HISTORICAL </w:t>
      </w:r>
      <w:r>
        <w:rPr>
          <w:b/>
          <w:bCs/>
          <w:sz w:val="20"/>
          <w:szCs w:val="16"/>
          <w:lang w:val="ru-RU"/>
        </w:rPr>
        <w:br/>
        <w:t>AND NUMIZMATIC STUDYING)</w:t>
      </w:r>
    </w:p>
    <w:p w14:paraId="0A86047B" w14:textId="35243C11" w:rsidR="00CD484C" w:rsidRDefault="00395416">
      <w:pPr>
        <w:ind w:firstLine="397"/>
        <w:jc w:val="both"/>
        <w:rPr>
          <w:sz w:val="20"/>
          <w:szCs w:val="16"/>
        </w:rPr>
      </w:pPr>
      <w:r>
        <w:rPr>
          <w:noProof/>
          <w:sz w:val="20"/>
          <w:szCs w:val="16"/>
        </w:rPr>
        <mc:AlternateContent>
          <mc:Choice Requires="wps">
            <w:drawing>
              <wp:anchor distT="0" distB="0" distL="114300" distR="114300" simplePos="0" relativeHeight="251694592" behindDoc="0" locked="0" layoutInCell="1" allowOverlap="1" wp14:anchorId="455D8924" wp14:editId="4F957E89">
                <wp:simplePos x="0" y="0"/>
                <wp:positionH relativeFrom="column">
                  <wp:posOffset>179705</wp:posOffset>
                </wp:positionH>
                <wp:positionV relativeFrom="paragraph">
                  <wp:posOffset>2714625</wp:posOffset>
                </wp:positionV>
                <wp:extent cx="4114800" cy="244475"/>
                <wp:effectExtent l="0" t="1270" r="3810" b="1905"/>
                <wp:wrapNone/>
                <wp:docPr id="1029570183"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F6A77" id="Rectangle 258" o:spid="_x0000_s1026" style="position:absolute;margin-left:14.15pt;margin-top:213.75pt;width:324pt;height:19.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" stroked="f"/>
            </w:pict>
          </mc:Fallback>
        </mc:AlternateContent>
      </w:r>
      <w:r w:rsidR="00CD484C">
        <w:rPr>
          <w:sz w:val="20"/>
          <w:szCs w:val="16"/>
          <w:lang w:val="en-US"/>
        </w:rPr>
        <w:t xml:space="preserve">In a sketch I consider three boards of X century which were dropped out in territory of Armenia Bzovan 1955 with the date of a latest coin of 324/935-6, and two synchronously dropped out boards in plain of Mugan in Azerbaijan: Banbashi 1948 and JAz-Kiragi 1958 with the date of latest coin 342/953-4. </w:t>
      </w:r>
      <w:r w:rsidR="00CD484C">
        <w:rPr>
          <w:sz w:val="20"/>
          <w:szCs w:val="16"/>
        </w:rPr>
        <w:t xml:space="preserve">Chronological, and structure of dynasty and the issue analysis dropped out boards, lead on the basis of a technique of the analysis boards with kufical coins of V.L. Janin developed (1956) and the advanced A.V.Fomin (1983, 1995, 1996), have shown their different dependence on the monetary markets. Board Bzovan 1955, being of board instant accumulation and a chronological range of 50 years, shows splash in stamping Abbasid’s the mints, 925-936 falling the period. In boards of Banbashi and Jaz-Kiragi it was studied the chronological groups of coins previous to date of loss boards. Due to what it is established, that board Banbashi, is more conservative on structure since updating here occurred more slowly, than in board Jaz-Kiragi. In it board powerful splash Buvejhid’s and Samanid’s the stampings, having place in last decade previous to date to a latest coin was reflected. Comparison of graphic constructions of chronological distribution of the boards has shown, that the numismatics has only to two same boards kufical coins with chronology of a determining part board equal 90 years. The senior group of coins boards, and also the group of coins submitted Abbasids stamping was specially studied. Here was used and two splashes in stamping in 283–292 and 313–322 are revealed. The coins having apertures or little ears were separately considered, has been shown, that «mechenye» coins were deduced in a similar way from the reference at different stages of monetary circulation. The senior coins of Mugan’s boards on which it was paid attention – «relict», according to V.L. Janinu of monetary circulation that played a role of a pent-up demand for elite metal. Studying latest chronological groups of the boards has allowed to raise the question group about existence Samanids and Bujids a </w:t>
      </w:r>
      <w:r w:rsidR="00CD484C">
        <w:rPr>
          <w:sz w:val="20"/>
          <w:szCs w:val="16"/>
        </w:rPr>
        <w:lastRenderedPageBreak/>
        <w:t>monetary stream through Derbent to Europe in 940–950 years, and studying stamping «small» dynasties – to show different ways of passage through Caucasus the Dzurdzan and Armenian and Azerbaijan coins in East Europe.</w:t>
      </w:r>
    </w:p>
    <w:p w14:paraId="526692B6" w14:textId="77777777" w:rsidR="00CD484C" w:rsidRDefault="00CD484C">
      <w:pPr>
        <w:tabs>
          <w:tab w:val="left" w:pos="567"/>
          <w:tab w:val="left" w:pos="2268"/>
          <w:tab w:val="left" w:pos="2694"/>
        </w:tabs>
        <w:ind w:firstLine="397"/>
        <w:jc w:val="both"/>
        <w:rPr>
          <w:sz w:val="20"/>
          <w:szCs w:val="16"/>
        </w:rPr>
      </w:pPr>
      <w:r>
        <w:rPr>
          <w:sz w:val="20"/>
          <w:szCs w:val="16"/>
        </w:rPr>
        <w:t xml:space="preserve">For history of Middle East the considered sources are of great value, expressing that the data of written documents on change of authority in Caliphate allow adding essentially. Owing to the big chronological range in comparison with Russian synchronous boards, boards of Armenia and Azerbaijan testifies to a deliberate delay local population Abbasid’s, first of all. As a result, being consequence of deficiency of silver in the markets of Transcaucasia in VIII – first half of X centuries, occurred on a background of rise and gradual fading Arabian Caliphate, expressed in loss Caliphs of Baghdad of secular authority. </w:t>
      </w:r>
    </w:p>
    <w:p w14:paraId="44173A84" w14:textId="77777777" w:rsidR="00CD484C" w:rsidRDefault="00CD484C">
      <w:pPr>
        <w:ind w:firstLine="397"/>
        <w:jc w:val="center"/>
        <w:rPr>
          <w:sz w:val="20"/>
          <w:szCs w:val="16"/>
        </w:rPr>
      </w:pPr>
    </w:p>
    <w:p w14:paraId="4A2CB118" w14:textId="77777777" w:rsidR="00CD484C" w:rsidRDefault="00CD484C">
      <w:pPr>
        <w:spacing w:after="120"/>
        <w:jc w:val="center"/>
        <w:rPr>
          <w:sz w:val="20"/>
          <w:szCs w:val="16"/>
        </w:rPr>
      </w:pPr>
      <w:r>
        <w:rPr>
          <w:sz w:val="20"/>
          <w:szCs w:val="16"/>
        </w:rPr>
        <w:t>S</w:t>
      </w:r>
      <w:r>
        <w:rPr>
          <w:b/>
          <w:bCs/>
          <w:sz w:val="20"/>
          <w:szCs w:val="16"/>
        </w:rPr>
        <w:t>KETCH 5</w:t>
      </w:r>
      <w:r>
        <w:rPr>
          <w:b/>
          <w:bCs/>
          <w:i/>
          <w:iCs/>
          <w:sz w:val="20"/>
          <w:szCs w:val="16"/>
        </w:rPr>
        <w:t xml:space="preserve">. </w:t>
      </w:r>
      <w:r>
        <w:rPr>
          <w:b/>
          <w:bCs/>
          <w:sz w:val="20"/>
          <w:szCs w:val="16"/>
        </w:rPr>
        <w:t xml:space="preserve">TRADING COMMUNICATIONS OF </w:t>
      </w:r>
      <w:r>
        <w:rPr>
          <w:b/>
          <w:bCs/>
          <w:sz w:val="20"/>
          <w:szCs w:val="16"/>
        </w:rPr>
        <w:br/>
        <w:t xml:space="preserve">THE CENTRAL ASIA, IRAN, AZERBAIJAN AND EUROPE </w:t>
      </w:r>
      <w:r>
        <w:rPr>
          <w:b/>
          <w:bCs/>
          <w:sz w:val="20"/>
          <w:szCs w:val="16"/>
        </w:rPr>
        <w:br/>
        <w:t>ON BOUNDARY X–XI CENTURIES</w:t>
      </w:r>
    </w:p>
    <w:p w14:paraId="2F92C913" w14:textId="77777777" w:rsidR="00CD484C" w:rsidRDefault="00CD484C">
      <w:pPr>
        <w:ind w:firstLine="397"/>
        <w:jc w:val="both"/>
        <w:rPr>
          <w:spacing w:val="-2"/>
          <w:sz w:val="20"/>
          <w:szCs w:val="16"/>
        </w:rPr>
      </w:pPr>
      <w:r>
        <w:rPr>
          <w:spacing w:val="-2"/>
          <w:sz w:val="20"/>
          <w:szCs w:val="16"/>
        </w:rPr>
        <w:t xml:space="preserve">In most close located market of the East Europe where the Islamic coin acted, was Volzskaia Bulgarija and deposits, here submitted, represent the big interest. In the given sketch the latest are considered boards, dropped out on average Volga – at the end Xth of the beginning of XIth century, which are a valuable source for studying as activity of mints, and political history postsamanid’s time. Data numismatic documents disorder former Arabian Caliphate on a number of independent empires. On average Volga, proceeding from structure dynasty, are known boards three types. It „clear“ Bujid’s, Samanid’s and mixed boards they directly testify to two monetary streams, receipts of coins developed at the end of X century to the Eastern Europe. Them miksing, that the most important, testify to presence of own monetary circulation.  So, Chistoplsky board 1885 which managed to be reconstructed completely totals 52 coins and it is unique board, incorporating excess of coins which have acted here on the Caspijan-Volga transport and communication system above the coins, delivered on average Volga from the Central Asia. The parity bunds and Samanid’s coins makes here 42 to 10. /Fig. 1/. Analysis board of Chistopolsky, and boards, found near Kreshchennyj (Red) ram vil. of Spasskiy district Kazan region 1905, and also board of 1976 on site of ancient settlement Abrlyga near contemporary Tashkent, by virtue of the synchronism by date of the latest coin show, that new dynasties, not having had time yet to break Samanids, have established independent trade and economic relations with Europe. Coins of the first Karakhanid’s and Simdzhurid’s are known in Baltic and Gotland Island. Last coin stamping in Merv in Europe is known with date 383 y.h. Quantitative distribution of coins in latest chronological group Abrlyga board 1976 in a place of issue allows offering the following picture of his formation. </w:t>
      </w:r>
    </w:p>
    <w:p w14:paraId="2D38B233" w14:textId="758B364E" w:rsidR="00CD484C" w:rsidRDefault="00395416">
      <w:pPr>
        <w:ind w:firstLine="397"/>
        <w:jc w:val="both"/>
        <w:rPr>
          <w:sz w:val="20"/>
          <w:szCs w:val="16"/>
        </w:rPr>
      </w:pPr>
      <w:r>
        <w:rPr>
          <w:noProof/>
          <w:sz w:val="20"/>
          <w:szCs w:val="16"/>
        </w:rPr>
        <mc:AlternateContent>
          <mc:Choice Requires="wps">
            <w:drawing>
              <wp:anchor distT="0" distB="0" distL="114300" distR="114300" simplePos="0" relativeHeight="251703808" behindDoc="0" locked="0" layoutInCell="1" allowOverlap="1" wp14:anchorId="306305B7" wp14:editId="1D698E77">
                <wp:simplePos x="0" y="0"/>
                <wp:positionH relativeFrom="column">
                  <wp:posOffset>-114300</wp:posOffset>
                </wp:positionH>
                <wp:positionV relativeFrom="paragraph">
                  <wp:posOffset>-441325</wp:posOffset>
                </wp:positionV>
                <wp:extent cx="4686300" cy="457200"/>
                <wp:effectExtent l="0" t="0" r="2540" b="1905"/>
                <wp:wrapNone/>
                <wp:docPr id="165131885"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5AC10" id="Rectangle 272" o:spid="_x0000_s1026" style="position:absolute;margin-left:-9pt;margin-top:-34.75pt;width:369pt;height:3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" stroked="f"/>
            </w:pict>
          </mc:Fallback>
        </mc:AlternateContent>
      </w:r>
      <w:r w:rsidR="00CD484C">
        <w:rPr>
          <w:sz w:val="20"/>
          <w:szCs w:val="16"/>
        </w:rPr>
        <w:t xml:space="preserve">A merchant from Bukhara in 381 g.h. it was directed to area ash-Shash. In Samarkand it has made the successful transaction and, having reached up to </w:t>
      </w:r>
      <w:r w:rsidR="00CD484C">
        <w:rPr>
          <w:sz w:val="20"/>
          <w:szCs w:val="16"/>
        </w:rPr>
        <w:lastRenderedPageBreak/>
        <w:t xml:space="preserve">Abrlyga, has lead trading operation with merchants from Fergana which have paid off with it with coins of the first Karakhanid stamping.  Board has been hidden not later than 382. It testifies, that at plentiful outflow of coins to Europe, monetary facilities from Maveranahr did not test lack of metal means of the reference and payment. Silver crisis on all Middle East which started to be felt in the middle of X century, has affected character of issue of a coin. Change of structure of an alloy has led to loss of the basic function of money as means of formation of treasures and to intensive search in the same east of other means-substitutes. </w:t>
      </w:r>
    </w:p>
    <w:p w14:paraId="73190F43" w14:textId="77777777" w:rsidR="00CD484C" w:rsidRDefault="00CD484C">
      <w:pPr>
        <w:ind w:firstLine="397"/>
        <w:jc w:val="both"/>
        <w:rPr>
          <w:sz w:val="20"/>
          <w:szCs w:val="16"/>
        </w:rPr>
      </w:pPr>
      <w:r>
        <w:rPr>
          <w:sz w:val="20"/>
          <w:szCs w:val="16"/>
        </w:rPr>
        <w:t xml:space="preserve">However, as well as during an early epoch of Vikings, fantastic east riches involved Normans. Their trips to Khoresm had incidental character, and the most distant areas where Vikings got were Mesopotamia and Northern Africa. The last boards, resulted in work reflect monetary issue of countries-exporters and a pent-up demand for money directly </w:t>
      </w:r>
      <w:r>
        <w:rPr>
          <w:sz w:val="20"/>
          <w:szCs w:val="18"/>
        </w:rPr>
        <w:t xml:space="preserve">ahead </w:t>
      </w:r>
      <w:r>
        <w:rPr>
          <w:sz w:val="20"/>
          <w:szCs w:val="16"/>
        </w:rPr>
        <w:t>of the termination of receipt of east coins to Europe.</w:t>
      </w:r>
    </w:p>
    <w:p w14:paraId="236B7B26" w14:textId="77777777" w:rsidR="00CD484C" w:rsidRDefault="00CD484C">
      <w:pPr>
        <w:ind w:firstLine="397"/>
      </w:pPr>
    </w:p>
    <w:p w14:paraId="6D601361" w14:textId="77777777" w:rsidR="00CD484C" w:rsidRDefault="00CD484C">
      <w:pPr>
        <w:ind w:firstLine="397"/>
        <w:jc w:val="both"/>
        <w:rPr>
          <w:sz w:val="20"/>
          <w:szCs w:val="16"/>
        </w:rPr>
      </w:pPr>
    </w:p>
    <w:p w14:paraId="19D46162" w14:textId="77777777" w:rsidR="00CD484C" w:rsidRDefault="00CD484C">
      <w:pPr>
        <w:ind w:firstLine="397"/>
        <w:jc w:val="both"/>
        <w:rPr>
          <w:sz w:val="20"/>
          <w:szCs w:val="16"/>
        </w:rPr>
      </w:pPr>
    </w:p>
    <w:p w14:paraId="03A8AADF" w14:textId="77777777" w:rsidR="00CD484C" w:rsidRDefault="00CD484C">
      <w:pPr>
        <w:ind w:firstLine="397"/>
        <w:jc w:val="both"/>
        <w:rPr>
          <w:sz w:val="20"/>
          <w:szCs w:val="16"/>
        </w:rPr>
      </w:pPr>
    </w:p>
    <w:p w14:paraId="78AFDE50" w14:textId="77777777" w:rsidR="00CD484C" w:rsidRDefault="00CD484C">
      <w:pPr>
        <w:ind w:firstLine="397"/>
        <w:jc w:val="both"/>
        <w:rPr>
          <w:sz w:val="20"/>
          <w:szCs w:val="16"/>
        </w:rPr>
      </w:pPr>
    </w:p>
    <w:p w14:paraId="0DF090D6" w14:textId="77777777" w:rsidR="00CD484C" w:rsidRDefault="00CD484C">
      <w:pPr>
        <w:ind w:firstLine="397"/>
        <w:jc w:val="both"/>
        <w:rPr>
          <w:sz w:val="20"/>
          <w:szCs w:val="16"/>
        </w:rPr>
      </w:pPr>
    </w:p>
    <w:p w14:paraId="60F11943" w14:textId="77777777" w:rsidR="00CD484C" w:rsidRDefault="00CD484C">
      <w:pPr>
        <w:ind w:firstLine="397"/>
        <w:jc w:val="both"/>
        <w:rPr>
          <w:sz w:val="20"/>
          <w:szCs w:val="16"/>
        </w:rPr>
      </w:pPr>
    </w:p>
    <w:p w14:paraId="1C631009" w14:textId="77777777" w:rsidR="00CD484C" w:rsidRDefault="00CD484C">
      <w:pPr>
        <w:ind w:firstLine="397"/>
        <w:jc w:val="both"/>
        <w:rPr>
          <w:sz w:val="20"/>
          <w:szCs w:val="16"/>
        </w:rPr>
      </w:pPr>
    </w:p>
    <w:p w14:paraId="1F6AE3F1" w14:textId="77777777" w:rsidR="00CD484C" w:rsidRDefault="00CD484C">
      <w:pPr>
        <w:ind w:firstLine="397"/>
        <w:jc w:val="both"/>
        <w:rPr>
          <w:sz w:val="20"/>
          <w:szCs w:val="16"/>
        </w:rPr>
      </w:pPr>
    </w:p>
    <w:p w14:paraId="62B750A4" w14:textId="77777777" w:rsidR="00CD484C" w:rsidRDefault="00CD484C">
      <w:pPr>
        <w:ind w:firstLine="397"/>
        <w:jc w:val="both"/>
        <w:rPr>
          <w:sz w:val="20"/>
          <w:szCs w:val="16"/>
        </w:rPr>
      </w:pPr>
    </w:p>
    <w:p w14:paraId="2D9D9758" w14:textId="77777777" w:rsidR="00CD484C" w:rsidRDefault="00CD484C">
      <w:pPr>
        <w:ind w:firstLine="397"/>
        <w:jc w:val="both"/>
        <w:rPr>
          <w:sz w:val="20"/>
          <w:szCs w:val="16"/>
        </w:rPr>
      </w:pPr>
    </w:p>
    <w:p w14:paraId="11C3D6CD" w14:textId="77777777" w:rsidR="00CD484C" w:rsidRDefault="00CD484C">
      <w:pPr>
        <w:ind w:firstLine="397"/>
        <w:jc w:val="both"/>
        <w:rPr>
          <w:sz w:val="20"/>
          <w:szCs w:val="16"/>
        </w:rPr>
      </w:pPr>
    </w:p>
    <w:p w14:paraId="2114230F" w14:textId="77777777" w:rsidR="00CD484C" w:rsidRDefault="00CD484C">
      <w:pPr>
        <w:ind w:firstLine="397"/>
        <w:jc w:val="both"/>
        <w:rPr>
          <w:sz w:val="20"/>
          <w:szCs w:val="16"/>
        </w:rPr>
      </w:pPr>
    </w:p>
    <w:p w14:paraId="1C91ACDA" w14:textId="77777777" w:rsidR="00CD484C" w:rsidRDefault="00CD484C">
      <w:pPr>
        <w:ind w:firstLine="397"/>
        <w:jc w:val="both"/>
        <w:rPr>
          <w:sz w:val="20"/>
          <w:szCs w:val="16"/>
        </w:rPr>
      </w:pPr>
    </w:p>
    <w:p w14:paraId="1BA0D5BA" w14:textId="77777777" w:rsidR="00CD484C" w:rsidRDefault="00CD484C">
      <w:pPr>
        <w:ind w:firstLine="397"/>
        <w:jc w:val="both"/>
        <w:rPr>
          <w:sz w:val="20"/>
          <w:szCs w:val="16"/>
        </w:rPr>
      </w:pPr>
    </w:p>
    <w:p w14:paraId="043412B2" w14:textId="77777777" w:rsidR="00CD484C" w:rsidRDefault="00CD484C">
      <w:pPr>
        <w:ind w:firstLine="397"/>
        <w:jc w:val="both"/>
        <w:rPr>
          <w:sz w:val="20"/>
          <w:szCs w:val="16"/>
        </w:rPr>
      </w:pPr>
    </w:p>
    <w:p w14:paraId="5CBDED23" w14:textId="77777777" w:rsidR="00CD484C" w:rsidRDefault="00CD484C">
      <w:pPr>
        <w:ind w:firstLine="397"/>
        <w:jc w:val="both"/>
        <w:rPr>
          <w:sz w:val="20"/>
          <w:szCs w:val="16"/>
        </w:rPr>
      </w:pPr>
    </w:p>
    <w:p w14:paraId="7D3F3393" w14:textId="77777777" w:rsidR="00CD484C" w:rsidRDefault="00CD484C">
      <w:pPr>
        <w:ind w:firstLine="397"/>
        <w:jc w:val="both"/>
        <w:rPr>
          <w:sz w:val="20"/>
          <w:szCs w:val="16"/>
        </w:rPr>
      </w:pPr>
    </w:p>
    <w:p w14:paraId="7CAA82C3" w14:textId="77777777" w:rsidR="00CD484C" w:rsidRDefault="00CD484C">
      <w:pPr>
        <w:ind w:firstLine="397"/>
        <w:jc w:val="both"/>
        <w:rPr>
          <w:sz w:val="20"/>
          <w:szCs w:val="16"/>
        </w:rPr>
      </w:pPr>
    </w:p>
    <w:p w14:paraId="3467767D" w14:textId="77777777" w:rsidR="00CD484C" w:rsidRDefault="00CD484C">
      <w:pPr>
        <w:ind w:firstLine="397"/>
        <w:jc w:val="both"/>
        <w:rPr>
          <w:sz w:val="20"/>
          <w:szCs w:val="16"/>
        </w:rPr>
      </w:pPr>
    </w:p>
    <w:p w14:paraId="003978CC" w14:textId="77777777" w:rsidR="00CD484C" w:rsidRDefault="00CD484C">
      <w:pPr>
        <w:ind w:firstLine="397"/>
        <w:jc w:val="both"/>
        <w:rPr>
          <w:sz w:val="20"/>
          <w:szCs w:val="16"/>
        </w:rPr>
      </w:pPr>
    </w:p>
    <w:p w14:paraId="37DBE65A" w14:textId="1784249D" w:rsidR="00CD484C" w:rsidRDefault="00395416">
      <w:pPr>
        <w:ind w:firstLine="397"/>
        <w:jc w:val="both"/>
        <w:rPr>
          <w:sz w:val="20"/>
          <w:szCs w:val="16"/>
        </w:rPr>
      </w:pPr>
      <w:r>
        <w:rPr>
          <w:noProof/>
          <w:sz w:val="20"/>
          <w:szCs w:val="16"/>
        </w:rPr>
        <mc:AlternateContent>
          <mc:Choice Requires="wps">
            <w:drawing>
              <wp:anchor distT="0" distB="0" distL="114300" distR="114300" simplePos="0" relativeHeight="251695616" behindDoc="0" locked="0" layoutInCell="1" allowOverlap="1" wp14:anchorId="61DF1CF0" wp14:editId="1349F68C">
                <wp:simplePos x="0" y="0"/>
                <wp:positionH relativeFrom="column">
                  <wp:posOffset>179705</wp:posOffset>
                </wp:positionH>
                <wp:positionV relativeFrom="paragraph">
                  <wp:posOffset>22225</wp:posOffset>
                </wp:positionV>
                <wp:extent cx="4114800" cy="358775"/>
                <wp:effectExtent l="4445" t="0" r="0" b="0"/>
                <wp:wrapNone/>
                <wp:docPr id="331718308"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5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EC833" id="Rectangle 259" o:spid="_x0000_s1026" style="position:absolute;margin-left:14.15pt;margin-top:1.75pt;width:324pt;height:28.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" stroked="f"/>
            </w:pict>
          </mc:Fallback>
        </mc:AlternateContent>
      </w:r>
    </w:p>
    <w:p w14:paraId="0A20E60A" w14:textId="77777777" w:rsidR="00CD484C" w:rsidRDefault="00CD484C">
      <w:pPr>
        <w:ind w:firstLine="397"/>
        <w:jc w:val="both"/>
        <w:rPr>
          <w:sz w:val="20"/>
          <w:szCs w:val="16"/>
        </w:rPr>
      </w:pPr>
    </w:p>
    <w:p w14:paraId="2B25B93E" w14:textId="77777777" w:rsidR="00CD484C" w:rsidRDefault="00CD484C">
      <w:pPr>
        <w:pStyle w:val="a3"/>
      </w:pPr>
      <w:r>
        <w:lastRenderedPageBreak/>
        <w:t>Указатель кладов куфических монет</w:t>
      </w:r>
    </w:p>
    <w:p w14:paraId="61404E6C" w14:textId="77777777" w:rsidR="00CD484C" w:rsidRDefault="00CD484C">
      <w:pPr>
        <w:pStyle w:val="a5"/>
        <w:jc w:val="both"/>
        <w:rPr>
          <w:szCs w:val="16"/>
        </w:rPr>
      </w:pPr>
      <w:r>
        <w:rPr>
          <w:szCs w:val="16"/>
        </w:rPr>
        <w:t>Абрлыга 1976 г., Узбекистан, 99, 109–111</w:t>
      </w:r>
    </w:p>
    <w:p w14:paraId="7B0D6956" w14:textId="77777777" w:rsidR="00CD484C" w:rsidRDefault="00CD484C">
      <w:pPr>
        <w:pStyle w:val="a5"/>
        <w:jc w:val="both"/>
        <w:rPr>
          <w:szCs w:val="16"/>
        </w:rPr>
      </w:pPr>
      <w:r>
        <w:rPr>
          <w:szCs w:val="16"/>
        </w:rPr>
        <w:t>Алтынтепа 1975 г., Узбекистан, 30–31, 42, 53, 57, 65</w:t>
      </w:r>
    </w:p>
    <w:p w14:paraId="4C8EFBDB" w14:textId="77777777" w:rsidR="00CD484C" w:rsidRDefault="00CD484C">
      <w:pPr>
        <w:pStyle w:val="a5"/>
        <w:jc w:val="both"/>
        <w:rPr>
          <w:szCs w:val="16"/>
        </w:rPr>
      </w:pPr>
      <w:r>
        <w:rPr>
          <w:szCs w:val="16"/>
        </w:rPr>
        <w:t>Афрасиаб 1928 г., Узбекистан, 55</w:t>
      </w:r>
    </w:p>
    <w:p w14:paraId="2460E4E4" w14:textId="77777777" w:rsidR="00CD484C" w:rsidRDefault="00CD484C">
      <w:pPr>
        <w:pStyle w:val="a5"/>
        <w:jc w:val="both"/>
        <w:rPr>
          <w:szCs w:val="16"/>
        </w:rPr>
      </w:pPr>
      <w:r>
        <w:rPr>
          <w:szCs w:val="16"/>
        </w:rPr>
        <w:t>Верхотурье 1909, Екатеринбургская губ., 57</w:t>
      </w:r>
    </w:p>
    <w:p w14:paraId="3439BA9F" w14:textId="77777777" w:rsidR="00CD484C" w:rsidRDefault="00CD484C">
      <w:pPr>
        <w:pStyle w:val="a5"/>
        <w:jc w:val="both"/>
        <w:rPr>
          <w:szCs w:val="16"/>
        </w:rPr>
      </w:pPr>
      <w:r>
        <w:rPr>
          <w:szCs w:val="16"/>
        </w:rPr>
        <w:t>Вятка 1877 г. Вятская губ., 130</w:t>
      </w:r>
    </w:p>
    <w:p w14:paraId="25B93DA8" w14:textId="77777777" w:rsidR="00CD484C" w:rsidRDefault="00CD484C">
      <w:pPr>
        <w:jc w:val="both"/>
        <w:rPr>
          <w:sz w:val="20"/>
          <w:szCs w:val="16"/>
        </w:rPr>
      </w:pPr>
      <w:r>
        <w:rPr>
          <w:sz w:val="20"/>
          <w:szCs w:val="16"/>
        </w:rPr>
        <w:t xml:space="preserve">Балымеры 1862 г. Казанская губ., 30, 35, 99–100 </w:t>
      </w:r>
    </w:p>
    <w:p w14:paraId="4E7F0BFB" w14:textId="77777777" w:rsidR="00CD484C" w:rsidRDefault="00CD484C">
      <w:pPr>
        <w:jc w:val="both"/>
        <w:rPr>
          <w:sz w:val="20"/>
          <w:szCs w:val="16"/>
        </w:rPr>
      </w:pPr>
      <w:r>
        <w:rPr>
          <w:sz w:val="20"/>
          <w:szCs w:val="16"/>
        </w:rPr>
        <w:t>Балымеры 1890 г. Казанская губ., 59</w:t>
      </w:r>
    </w:p>
    <w:p w14:paraId="7AFB6DA1" w14:textId="77777777" w:rsidR="00CD484C" w:rsidRDefault="00CD484C">
      <w:pPr>
        <w:jc w:val="both"/>
        <w:rPr>
          <w:sz w:val="20"/>
          <w:szCs w:val="16"/>
        </w:rPr>
      </w:pPr>
      <w:r>
        <w:rPr>
          <w:sz w:val="20"/>
          <w:szCs w:val="16"/>
        </w:rPr>
        <w:t>Банбаши 1948 г., Азербайджан, 30, 65, 72–79, 84–88, 90–92, 94</w:t>
      </w:r>
    </w:p>
    <w:p w14:paraId="1AA9A457" w14:textId="77777777" w:rsidR="00CD484C" w:rsidRDefault="00CD484C">
      <w:pPr>
        <w:jc w:val="both"/>
        <w:rPr>
          <w:sz w:val="20"/>
          <w:szCs w:val="16"/>
        </w:rPr>
      </w:pPr>
      <w:r>
        <w:rPr>
          <w:sz w:val="20"/>
          <w:szCs w:val="16"/>
        </w:rPr>
        <w:t>Бзован 1955 г., Армения, 71–73, 79–81, 85–86, 88–90, 94–95, 97</w:t>
      </w:r>
    </w:p>
    <w:p w14:paraId="791251FA" w14:textId="77777777" w:rsidR="00CD484C" w:rsidRDefault="00CD484C">
      <w:pPr>
        <w:jc w:val="both"/>
        <w:rPr>
          <w:sz w:val="20"/>
          <w:szCs w:val="16"/>
        </w:rPr>
      </w:pPr>
      <w:r>
        <w:rPr>
          <w:sz w:val="20"/>
          <w:szCs w:val="16"/>
        </w:rPr>
        <w:t>Билярский 2001 г., Татарстан, 116, 135</w:t>
      </w:r>
    </w:p>
    <w:p w14:paraId="4EDFE2C0" w14:textId="77777777" w:rsidR="00CD484C" w:rsidRDefault="00CD484C">
      <w:pPr>
        <w:jc w:val="both"/>
        <w:rPr>
          <w:sz w:val="20"/>
          <w:szCs w:val="16"/>
        </w:rPr>
      </w:pPr>
      <w:r>
        <w:rPr>
          <w:sz w:val="20"/>
          <w:szCs w:val="16"/>
        </w:rPr>
        <w:t>Богдановский 1885 г., Вятская губ., 30, 42–46, 48, 51, 57–60</w:t>
      </w:r>
    </w:p>
    <w:p w14:paraId="7E0AAE32" w14:textId="77777777" w:rsidR="00CD484C" w:rsidRDefault="00CD484C">
      <w:pPr>
        <w:jc w:val="both"/>
        <w:rPr>
          <w:sz w:val="20"/>
          <w:szCs w:val="16"/>
        </w:rPr>
      </w:pPr>
      <w:r>
        <w:rPr>
          <w:sz w:val="20"/>
          <w:szCs w:val="16"/>
        </w:rPr>
        <w:t>Болгары 1895 г., Казанская губ., 30–31</w:t>
      </w:r>
    </w:p>
    <w:p w14:paraId="7AC9BB2E" w14:textId="77777777" w:rsidR="00CD484C" w:rsidRDefault="00CD484C">
      <w:pPr>
        <w:jc w:val="both"/>
        <w:rPr>
          <w:sz w:val="20"/>
          <w:szCs w:val="16"/>
        </w:rPr>
      </w:pPr>
      <w:r>
        <w:rPr>
          <w:sz w:val="20"/>
          <w:szCs w:val="16"/>
        </w:rPr>
        <w:t>Борки 1952 г., Рязанская обл., 30, 37–38, 93, 123</w:t>
      </w:r>
    </w:p>
    <w:p w14:paraId="281EE034" w14:textId="77777777" w:rsidR="00CD484C" w:rsidRDefault="00CD484C">
      <w:pPr>
        <w:jc w:val="both"/>
        <w:rPr>
          <w:sz w:val="20"/>
          <w:szCs w:val="16"/>
        </w:rPr>
      </w:pPr>
      <w:r>
        <w:rPr>
          <w:sz w:val="20"/>
          <w:szCs w:val="16"/>
        </w:rPr>
        <w:t>Борки 1958 г., Рязанская обл., 54</w:t>
      </w:r>
    </w:p>
    <w:p w14:paraId="438BF48C" w14:textId="77777777" w:rsidR="00CD484C" w:rsidRDefault="00CD484C">
      <w:pPr>
        <w:jc w:val="both"/>
        <w:rPr>
          <w:sz w:val="20"/>
          <w:szCs w:val="16"/>
        </w:rPr>
      </w:pPr>
      <w:r>
        <w:rPr>
          <w:sz w:val="20"/>
          <w:szCs w:val="16"/>
        </w:rPr>
        <w:t>Велла 1903 г. Эстония, 120, 143</w:t>
      </w:r>
    </w:p>
    <w:p w14:paraId="6B31678A" w14:textId="77777777" w:rsidR="00CD484C" w:rsidRDefault="00CD484C">
      <w:pPr>
        <w:jc w:val="both"/>
        <w:rPr>
          <w:sz w:val="20"/>
          <w:szCs w:val="16"/>
        </w:rPr>
      </w:pPr>
      <w:r>
        <w:rPr>
          <w:sz w:val="20"/>
          <w:szCs w:val="16"/>
        </w:rPr>
        <w:t>Глазов 1850 г., Вятская губ., 26, 130</w:t>
      </w:r>
    </w:p>
    <w:p w14:paraId="615DFA50" w14:textId="77777777" w:rsidR="00CD484C" w:rsidRDefault="00CD484C">
      <w:pPr>
        <w:jc w:val="both"/>
        <w:rPr>
          <w:sz w:val="20"/>
          <w:szCs w:val="16"/>
        </w:rPr>
      </w:pPr>
      <w:r>
        <w:rPr>
          <w:sz w:val="20"/>
          <w:szCs w:val="16"/>
        </w:rPr>
        <w:t>Горбуновский. 1943 г., Пермская обл., 57</w:t>
      </w:r>
    </w:p>
    <w:p w14:paraId="6D58BF87" w14:textId="77777777" w:rsidR="00CD484C" w:rsidRDefault="00CD484C">
      <w:pPr>
        <w:jc w:val="both"/>
        <w:rPr>
          <w:sz w:val="20"/>
          <w:szCs w:val="16"/>
        </w:rPr>
      </w:pPr>
      <w:r>
        <w:rPr>
          <w:sz w:val="20"/>
          <w:szCs w:val="16"/>
        </w:rPr>
        <w:t>Готландский клад 1844 г., Швеция, 84</w:t>
      </w:r>
    </w:p>
    <w:p w14:paraId="00B8908A" w14:textId="77777777" w:rsidR="00CD484C" w:rsidRDefault="00CD484C">
      <w:pPr>
        <w:jc w:val="both"/>
        <w:rPr>
          <w:sz w:val="20"/>
          <w:szCs w:val="16"/>
        </w:rPr>
      </w:pPr>
      <w:r>
        <w:rPr>
          <w:sz w:val="20"/>
          <w:szCs w:val="16"/>
        </w:rPr>
        <w:t>Дюсяково 1874 г., Уфимская губ., 58</w:t>
      </w:r>
    </w:p>
    <w:p w14:paraId="438DA03A" w14:textId="77777777" w:rsidR="00CD484C" w:rsidRDefault="00CD484C">
      <w:pPr>
        <w:jc w:val="both"/>
        <w:rPr>
          <w:sz w:val="20"/>
          <w:szCs w:val="16"/>
        </w:rPr>
      </w:pPr>
      <w:r>
        <w:rPr>
          <w:sz w:val="20"/>
          <w:szCs w:val="16"/>
        </w:rPr>
        <w:t>Завалишинский 1874 г., Переяславская губ., 17, 144</w:t>
      </w:r>
    </w:p>
    <w:p w14:paraId="2B489D5A" w14:textId="77777777" w:rsidR="00CD484C" w:rsidRDefault="00CD484C">
      <w:pPr>
        <w:jc w:val="both"/>
        <w:rPr>
          <w:sz w:val="20"/>
          <w:szCs w:val="16"/>
        </w:rPr>
      </w:pPr>
      <w:r>
        <w:rPr>
          <w:sz w:val="20"/>
          <w:szCs w:val="16"/>
        </w:rPr>
        <w:t>Княщины 1874–1924 гг., Санкт-Петербургская губ., 16–17</w:t>
      </w:r>
    </w:p>
    <w:p w14:paraId="1BC94131" w14:textId="77777777" w:rsidR="00CD484C" w:rsidRDefault="00CD484C">
      <w:pPr>
        <w:jc w:val="both"/>
        <w:rPr>
          <w:sz w:val="20"/>
          <w:szCs w:val="16"/>
        </w:rPr>
      </w:pPr>
      <w:r>
        <w:rPr>
          <w:sz w:val="20"/>
          <w:szCs w:val="16"/>
        </w:rPr>
        <w:t>/из/ Казанской губ. 1840 г., 30, 42, 45–47, 52, 57–58, 64, 67</w:t>
      </w:r>
    </w:p>
    <w:p w14:paraId="12D6B0D2" w14:textId="77777777" w:rsidR="00CD484C" w:rsidRDefault="00CD484C">
      <w:pPr>
        <w:jc w:val="both"/>
        <w:rPr>
          <w:sz w:val="20"/>
          <w:szCs w:val="16"/>
        </w:rPr>
      </w:pPr>
      <w:r>
        <w:rPr>
          <w:sz w:val="20"/>
          <w:szCs w:val="16"/>
        </w:rPr>
        <w:t>Казань 1855 г., Казанская губ., 99</w:t>
      </w:r>
    </w:p>
    <w:p w14:paraId="514A2EB9" w14:textId="77777777" w:rsidR="00CD484C" w:rsidRDefault="00CD484C">
      <w:pPr>
        <w:jc w:val="both"/>
        <w:rPr>
          <w:sz w:val="20"/>
          <w:szCs w:val="16"/>
        </w:rPr>
      </w:pPr>
      <w:r>
        <w:rPr>
          <w:sz w:val="20"/>
          <w:szCs w:val="16"/>
        </w:rPr>
        <w:t>Козельск 2000 г., Калужская обл., 17, 142</w:t>
      </w:r>
    </w:p>
    <w:p w14:paraId="25EF3F28" w14:textId="77777777" w:rsidR="00CD484C" w:rsidRDefault="00CD484C">
      <w:pPr>
        <w:jc w:val="both"/>
        <w:rPr>
          <w:sz w:val="20"/>
          <w:szCs w:val="16"/>
        </w:rPr>
      </w:pPr>
      <w:r>
        <w:rPr>
          <w:sz w:val="20"/>
          <w:szCs w:val="16"/>
        </w:rPr>
        <w:t>Красная 1896 г., Литва, 121</w:t>
      </w:r>
    </w:p>
    <w:p w14:paraId="6656B41A" w14:textId="77777777" w:rsidR="00CD484C" w:rsidRDefault="00CD484C">
      <w:pPr>
        <w:jc w:val="both"/>
        <w:rPr>
          <w:spacing w:val="-6"/>
          <w:sz w:val="20"/>
          <w:szCs w:val="16"/>
        </w:rPr>
      </w:pPr>
      <w:r>
        <w:rPr>
          <w:spacing w:val="-6"/>
          <w:sz w:val="20"/>
          <w:szCs w:val="16"/>
        </w:rPr>
        <w:t xml:space="preserve">Красный десант 1970-е годы, Астраханская обл., 30, 32, 42, 48, 55, 67, 72, 95–96 </w:t>
      </w:r>
    </w:p>
    <w:p w14:paraId="274829BB" w14:textId="77777777" w:rsidR="00CD484C" w:rsidRDefault="00CD484C">
      <w:pPr>
        <w:jc w:val="both"/>
        <w:rPr>
          <w:spacing w:val="-14"/>
          <w:sz w:val="20"/>
          <w:szCs w:val="16"/>
        </w:rPr>
      </w:pPr>
      <w:r>
        <w:rPr>
          <w:spacing w:val="-14"/>
          <w:sz w:val="20"/>
          <w:szCs w:val="16"/>
        </w:rPr>
        <w:t>Крещенный (Красный) баран 1905 г., 99, 103, 107–111, 113–114, 116, 119, 121, 137, 140</w:t>
      </w:r>
    </w:p>
    <w:p w14:paraId="1675AE12" w14:textId="77777777" w:rsidR="00CD484C" w:rsidRDefault="00CD484C">
      <w:pPr>
        <w:jc w:val="both"/>
        <w:rPr>
          <w:sz w:val="20"/>
          <w:szCs w:val="16"/>
        </w:rPr>
      </w:pPr>
      <w:r>
        <w:rPr>
          <w:sz w:val="20"/>
          <w:szCs w:val="16"/>
        </w:rPr>
        <w:t>Лесогурт 1961 г., Удмурская АССР, 130</w:t>
      </w:r>
    </w:p>
    <w:p w14:paraId="3BA3B8CA" w14:textId="77777777" w:rsidR="00CD484C" w:rsidRDefault="00CD484C">
      <w:pPr>
        <w:jc w:val="both"/>
        <w:rPr>
          <w:sz w:val="20"/>
          <w:szCs w:val="16"/>
        </w:rPr>
      </w:pPr>
      <w:r>
        <w:rPr>
          <w:sz w:val="20"/>
          <w:szCs w:val="16"/>
        </w:rPr>
        <w:t>Лужки 1973 г.  Московская обл., 42, 55–58, 68, 138</w:t>
      </w:r>
    </w:p>
    <w:p w14:paraId="12F4E578" w14:textId="77777777" w:rsidR="00CD484C" w:rsidRDefault="00CD484C">
      <w:pPr>
        <w:jc w:val="both"/>
        <w:rPr>
          <w:sz w:val="20"/>
          <w:szCs w:val="16"/>
        </w:rPr>
      </w:pPr>
      <w:r>
        <w:rPr>
          <w:sz w:val="20"/>
          <w:szCs w:val="16"/>
        </w:rPr>
        <w:t>Маклашевка 1856 г., Казанская губ., 99–100</w:t>
      </w:r>
    </w:p>
    <w:p w14:paraId="5813D607" w14:textId="77777777" w:rsidR="00CD484C" w:rsidRDefault="00CD484C">
      <w:pPr>
        <w:jc w:val="both"/>
        <w:rPr>
          <w:sz w:val="20"/>
          <w:szCs w:val="16"/>
        </w:rPr>
      </w:pPr>
      <w:r>
        <w:rPr>
          <w:sz w:val="20"/>
          <w:szCs w:val="16"/>
        </w:rPr>
        <w:t>Муром 1868 г., Владмирская губ., 42, 49, 51–53, 56–57, 59–61, 68, 83</w:t>
      </w:r>
    </w:p>
    <w:p w14:paraId="0C06B58B" w14:textId="77777777" w:rsidR="00CD484C" w:rsidRDefault="00CD484C">
      <w:pPr>
        <w:jc w:val="both"/>
        <w:rPr>
          <w:sz w:val="20"/>
          <w:szCs w:val="16"/>
        </w:rPr>
      </w:pPr>
      <w:r>
        <w:rPr>
          <w:sz w:val="20"/>
          <w:szCs w:val="16"/>
        </w:rPr>
        <w:t>Пальцево 1923 г., Тверская обл., 61–62, 64, 147</w:t>
      </w:r>
    </w:p>
    <w:p w14:paraId="786F57A8" w14:textId="77777777" w:rsidR="00CD484C" w:rsidRDefault="00CD484C">
      <w:pPr>
        <w:jc w:val="both"/>
        <w:rPr>
          <w:sz w:val="20"/>
          <w:szCs w:val="16"/>
        </w:rPr>
      </w:pPr>
      <w:r>
        <w:rPr>
          <w:sz w:val="20"/>
          <w:szCs w:val="16"/>
        </w:rPr>
        <w:t>Рябиновский 1883 г.,  Вятская губ., 30, 37</w:t>
      </w:r>
    </w:p>
    <w:p w14:paraId="6282B0C7" w14:textId="77777777" w:rsidR="00CD484C" w:rsidRDefault="00CD484C">
      <w:pPr>
        <w:jc w:val="both"/>
        <w:rPr>
          <w:sz w:val="20"/>
          <w:szCs w:val="16"/>
        </w:rPr>
      </w:pPr>
      <w:r>
        <w:rPr>
          <w:sz w:val="20"/>
          <w:szCs w:val="16"/>
        </w:rPr>
        <w:t>Семеновский 1970-х гг., Татарская АССР, 30, 33, 121</w:t>
      </w:r>
    </w:p>
    <w:p w14:paraId="4AC4C019" w14:textId="77777777" w:rsidR="00CD484C" w:rsidRDefault="00CD484C">
      <w:pPr>
        <w:jc w:val="both"/>
        <w:rPr>
          <w:sz w:val="20"/>
          <w:szCs w:val="16"/>
        </w:rPr>
      </w:pPr>
      <w:r>
        <w:rPr>
          <w:sz w:val="20"/>
          <w:szCs w:val="16"/>
        </w:rPr>
        <w:t xml:space="preserve"> /из/ Ставропольского уезда Самарской губ. 1856 г., 42, 48, 65–66, 139</w:t>
      </w:r>
    </w:p>
    <w:p w14:paraId="790A57F2" w14:textId="77777777" w:rsidR="00CD484C" w:rsidRDefault="00CD484C">
      <w:pPr>
        <w:jc w:val="both"/>
        <w:rPr>
          <w:sz w:val="20"/>
          <w:szCs w:val="16"/>
        </w:rPr>
      </w:pPr>
      <w:r>
        <w:rPr>
          <w:sz w:val="20"/>
          <w:szCs w:val="16"/>
        </w:rPr>
        <w:t>Старая Ладога 1892 г., Санкт-Петербургская губ., 8, 12</w:t>
      </w:r>
    </w:p>
    <w:p w14:paraId="1CDCC917" w14:textId="77777777" w:rsidR="00CD484C" w:rsidRDefault="00CD484C">
      <w:pPr>
        <w:jc w:val="both"/>
        <w:rPr>
          <w:sz w:val="20"/>
          <w:szCs w:val="16"/>
        </w:rPr>
      </w:pPr>
      <w:r>
        <w:rPr>
          <w:sz w:val="20"/>
          <w:szCs w:val="16"/>
        </w:rPr>
        <w:t>Стародединский 1876 г., Белгородская губ., 5</w:t>
      </w:r>
    </w:p>
    <w:p w14:paraId="5D1B39AA" w14:textId="77777777" w:rsidR="00CD484C" w:rsidRDefault="00CD484C">
      <w:pPr>
        <w:jc w:val="both"/>
        <w:rPr>
          <w:sz w:val="20"/>
          <w:szCs w:val="16"/>
        </w:rPr>
      </w:pPr>
      <w:r>
        <w:rPr>
          <w:sz w:val="20"/>
          <w:szCs w:val="16"/>
        </w:rPr>
        <w:t>Сувар 1974 г., Татарская АССР, 30, 35–36, 43, 102, 106–107</w:t>
      </w:r>
    </w:p>
    <w:p w14:paraId="78802571" w14:textId="77777777" w:rsidR="00CD484C" w:rsidRDefault="00CD484C">
      <w:pPr>
        <w:jc w:val="both"/>
        <w:rPr>
          <w:sz w:val="20"/>
          <w:szCs w:val="16"/>
        </w:rPr>
      </w:pPr>
      <w:r>
        <w:rPr>
          <w:sz w:val="20"/>
          <w:szCs w:val="16"/>
        </w:rPr>
        <w:t>Ташкент, 1928 г., Узбекистан, 30, 110, 112, 143</w:t>
      </w:r>
    </w:p>
    <w:p w14:paraId="67295576" w14:textId="77777777" w:rsidR="00CD484C" w:rsidRDefault="00CD484C">
      <w:pPr>
        <w:jc w:val="both"/>
        <w:rPr>
          <w:sz w:val="20"/>
          <w:szCs w:val="16"/>
        </w:rPr>
      </w:pPr>
      <w:r>
        <w:rPr>
          <w:sz w:val="20"/>
          <w:szCs w:val="16"/>
        </w:rPr>
        <w:t>Титчиха 1965 г., Воронежская обл., 42, 62–64, 141</w:t>
      </w:r>
    </w:p>
    <w:p w14:paraId="37C081FC" w14:textId="77777777" w:rsidR="00CD484C" w:rsidRDefault="00CD484C">
      <w:pPr>
        <w:jc w:val="both"/>
        <w:rPr>
          <w:sz w:val="20"/>
          <w:szCs w:val="16"/>
        </w:rPr>
      </w:pPr>
      <w:r>
        <w:rPr>
          <w:sz w:val="20"/>
          <w:szCs w:val="16"/>
        </w:rPr>
        <w:t xml:space="preserve"> Форё на о.Готланд, Швеция, 15</w:t>
      </w:r>
    </w:p>
    <w:p w14:paraId="6F476C86" w14:textId="462A448F" w:rsidR="00CD484C" w:rsidRDefault="00395416">
      <w:pPr>
        <w:jc w:val="both"/>
        <w:rPr>
          <w:spacing w:val="-4"/>
          <w:sz w:val="20"/>
          <w:szCs w:val="16"/>
        </w:rPr>
      </w:pPr>
      <w:r>
        <w:rPr>
          <w:noProof/>
          <w:spacing w:val="-4"/>
          <w:sz w:val="20"/>
          <w:szCs w:val="16"/>
        </w:rPr>
        <w:lastRenderedPageBreak/>
        <mc:AlternateContent>
          <mc:Choice Requires="wps">
            <w:drawing>
              <wp:anchor distT="0" distB="0" distL="114300" distR="114300" simplePos="0" relativeHeight="251696640" behindDoc="0" locked="0" layoutInCell="1" allowOverlap="1" wp14:anchorId="47660CC3" wp14:editId="71B19EE9">
                <wp:simplePos x="0" y="0"/>
                <wp:positionH relativeFrom="column">
                  <wp:posOffset>0</wp:posOffset>
                </wp:positionH>
                <wp:positionV relativeFrom="paragraph">
                  <wp:posOffset>-228600</wp:posOffset>
                </wp:positionV>
                <wp:extent cx="4114800" cy="244475"/>
                <wp:effectExtent l="0" t="4445" r="2540" b="0"/>
                <wp:wrapNone/>
                <wp:docPr id="205203342"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59904" id="Rectangle 260" o:spid="_x0000_s1026" style="position:absolute;margin-left:0;margin-top:-18pt;width:324pt;height:19.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" stroked="f"/>
            </w:pict>
          </mc:Fallback>
        </mc:AlternateContent>
      </w:r>
      <w:r w:rsidR="00CD484C">
        <w:rPr>
          <w:spacing w:val="-4"/>
          <w:sz w:val="20"/>
          <w:szCs w:val="16"/>
        </w:rPr>
        <w:t>Чистопольский 1885 г, Казанская губ., 30, 35, 99–107, 109–113, 119, 121, 140</w:t>
      </w:r>
    </w:p>
    <w:p w14:paraId="221B3190" w14:textId="77777777" w:rsidR="00CD484C" w:rsidRDefault="00CD484C">
      <w:pPr>
        <w:jc w:val="both"/>
        <w:rPr>
          <w:sz w:val="20"/>
          <w:szCs w:val="16"/>
        </w:rPr>
      </w:pPr>
      <w:r>
        <w:rPr>
          <w:sz w:val="20"/>
          <w:szCs w:val="16"/>
        </w:rPr>
        <w:t>Чумбарей  1879 г.(?), Вятская губ., 8, 13</w:t>
      </w:r>
    </w:p>
    <w:p w14:paraId="084935E9" w14:textId="77777777" w:rsidR="00CD484C" w:rsidRDefault="00CD484C">
      <w:pPr>
        <w:jc w:val="both"/>
        <w:rPr>
          <w:sz w:val="20"/>
          <w:szCs w:val="16"/>
        </w:rPr>
      </w:pPr>
      <w:r>
        <w:rPr>
          <w:sz w:val="20"/>
          <w:szCs w:val="16"/>
        </w:rPr>
        <w:t>Шаштепа /Ташкент 1938 г./., Узбекистан, 30–31</w:t>
      </w:r>
    </w:p>
    <w:p w14:paraId="7BA5E1E4" w14:textId="77777777" w:rsidR="00CD484C" w:rsidRDefault="00CD484C">
      <w:pPr>
        <w:jc w:val="both"/>
        <w:rPr>
          <w:sz w:val="20"/>
          <w:szCs w:val="16"/>
        </w:rPr>
      </w:pPr>
      <w:r>
        <w:rPr>
          <w:sz w:val="20"/>
          <w:szCs w:val="16"/>
        </w:rPr>
        <w:t>Ягошурский (Кестымский) 1867 г. Вятская губ., 23, 130</w:t>
      </w:r>
    </w:p>
    <w:p w14:paraId="25D7D527" w14:textId="77777777" w:rsidR="00CD484C" w:rsidRDefault="00CD484C">
      <w:pPr>
        <w:jc w:val="both"/>
        <w:rPr>
          <w:sz w:val="20"/>
          <w:szCs w:val="16"/>
        </w:rPr>
      </w:pPr>
      <w:r>
        <w:rPr>
          <w:sz w:val="20"/>
          <w:szCs w:val="16"/>
        </w:rPr>
        <w:t>Яз-Кираги 1958 г., Азербайджан, 30, 34, 64–65, 71–81, 84–92, 94, 96–97</w:t>
      </w:r>
    </w:p>
    <w:p w14:paraId="6418ED3E" w14:textId="77777777" w:rsidR="00CD484C" w:rsidRDefault="00CD484C">
      <w:pPr>
        <w:jc w:val="both"/>
        <w:rPr>
          <w:sz w:val="20"/>
          <w:szCs w:val="16"/>
        </w:rPr>
      </w:pPr>
    </w:p>
    <w:p w14:paraId="2B524695" w14:textId="77777777" w:rsidR="00CD484C" w:rsidRDefault="00CD484C">
      <w:pPr>
        <w:jc w:val="both"/>
        <w:rPr>
          <w:sz w:val="20"/>
          <w:szCs w:val="16"/>
        </w:rPr>
      </w:pPr>
      <w:r>
        <w:rPr>
          <w:sz w:val="20"/>
          <w:szCs w:val="16"/>
        </w:rPr>
        <w:tab/>
      </w:r>
      <w:r>
        <w:rPr>
          <w:sz w:val="20"/>
          <w:szCs w:val="16"/>
        </w:rPr>
        <w:tab/>
      </w:r>
    </w:p>
    <w:p w14:paraId="0E6A7A8E" w14:textId="77777777" w:rsidR="00CD484C" w:rsidRDefault="00CD484C">
      <w:pPr>
        <w:ind w:firstLine="397"/>
        <w:jc w:val="center"/>
        <w:rPr>
          <w:sz w:val="20"/>
          <w:szCs w:val="16"/>
        </w:rPr>
      </w:pPr>
    </w:p>
    <w:p w14:paraId="25EC4472" w14:textId="77777777" w:rsidR="00CD484C" w:rsidRDefault="00CD484C">
      <w:pPr>
        <w:ind w:firstLine="397"/>
        <w:jc w:val="both"/>
        <w:rPr>
          <w:sz w:val="20"/>
          <w:szCs w:val="16"/>
        </w:rPr>
      </w:pPr>
    </w:p>
    <w:p w14:paraId="740A9F5B" w14:textId="77777777" w:rsidR="00CD484C" w:rsidRDefault="00CD484C">
      <w:pPr>
        <w:ind w:firstLine="397"/>
        <w:jc w:val="both"/>
        <w:rPr>
          <w:sz w:val="20"/>
          <w:szCs w:val="16"/>
        </w:rPr>
      </w:pPr>
    </w:p>
    <w:p w14:paraId="56904D02" w14:textId="77777777" w:rsidR="00CD484C" w:rsidRDefault="00CD484C">
      <w:pPr>
        <w:ind w:firstLine="397"/>
        <w:jc w:val="both"/>
        <w:rPr>
          <w:sz w:val="20"/>
          <w:szCs w:val="16"/>
        </w:rPr>
      </w:pPr>
    </w:p>
    <w:p w14:paraId="78E735BE" w14:textId="77777777" w:rsidR="00CD484C" w:rsidRDefault="00CD484C">
      <w:pPr>
        <w:ind w:firstLine="397"/>
        <w:jc w:val="both"/>
        <w:rPr>
          <w:sz w:val="20"/>
          <w:szCs w:val="16"/>
        </w:rPr>
      </w:pPr>
    </w:p>
    <w:p w14:paraId="5905A911" w14:textId="77777777" w:rsidR="00CD484C" w:rsidRDefault="00CD484C">
      <w:pPr>
        <w:ind w:firstLine="397"/>
        <w:jc w:val="both"/>
        <w:rPr>
          <w:sz w:val="20"/>
          <w:szCs w:val="16"/>
        </w:rPr>
      </w:pPr>
    </w:p>
    <w:p w14:paraId="4933D282" w14:textId="77777777" w:rsidR="00CD484C" w:rsidRDefault="00CD484C">
      <w:pPr>
        <w:ind w:firstLine="397"/>
        <w:jc w:val="both"/>
        <w:rPr>
          <w:sz w:val="20"/>
          <w:szCs w:val="16"/>
        </w:rPr>
      </w:pPr>
    </w:p>
    <w:p w14:paraId="641F9D31" w14:textId="77777777" w:rsidR="00CD484C" w:rsidRDefault="00CD484C">
      <w:pPr>
        <w:ind w:firstLine="397"/>
        <w:jc w:val="both"/>
        <w:rPr>
          <w:sz w:val="20"/>
          <w:szCs w:val="16"/>
        </w:rPr>
      </w:pPr>
    </w:p>
    <w:p w14:paraId="2BDE4415" w14:textId="77777777" w:rsidR="00CD484C" w:rsidRDefault="00CD484C">
      <w:pPr>
        <w:ind w:firstLine="397"/>
        <w:jc w:val="both"/>
        <w:rPr>
          <w:sz w:val="20"/>
          <w:szCs w:val="16"/>
        </w:rPr>
      </w:pPr>
    </w:p>
    <w:p w14:paraId="08E6A6F5" w14:textId="77777777" w:rsidR="00CD484C" w:rsidRDefault="00CD484C">
      <w:pPr>
        <w:ind w:firstLine="397"/>
        <w:jc w:val="both"/>
        <w:rPr>
          <w:sz w:val="20"/>
          <w:szCs w:val="16"/>
        </w:rPr>
      </w:pPr>
    </w:p>
    <w:p w14:paraId="139FC9DE" w14:textId="77777777" w:rsidR="00CD484C" w:rsidRDefault="00CD484C">
      <w:pPr>
        <w:ind w:firstLine="397"/>
        <w:jc w:val="both"/>
        <w:rPr>
          <w:sz w:val="20"/>
          <w:szCs w:val="16"/>
        </w:rPr>
      </w:pPr>
    </w:p>
    <w:p w14:paraId="740FFA59" w14:textId="77777777" w:rsidR="00CD484C" w:rsidRDefault="00CD484C">
      <w:pPr>
        <w:ind w:firstLine="397"/>
        <w:jc w:val="both"/>
        <w:rPr>
          <w:sz w:val="20"/>
          <w:szCs w:val="16"/>
        </w:rPr>
      </w:pPr>
    </w:p>
    <w:p w14:paraId="24042B15" w14:textId="77777777" w:rsidR="00CD484C" w:rsidRDefault="00CD484C">
      <w:pPr>
        <w:ind w:firstLine="397"/>
        <w:jc w:val="both"/>
        <w:rPr>
          <w:sz w:val="20"/>
          <w:szCs w:val="16"/>
        </w:rPr>
      </w:pPr>
    </w:p>
    <w:p w14:paraId="4EF59D1E" w14:textId="77777777" w:rsidR="00CD484C" w:rsidRDefault="00CD484C">
      <w:pPr>
        <w:ind w:firstLine="397"/>
        <w:jc w:val="both"/>
        <w:rPr>
          <w:sz w:val="20"/>
          <w:szCs w:val="16"/>
        </w:rPr>
      </w:pPr>
    </w:p>
    <w:p w14:paraId="3F997598" w14:textId="77777777" w:rsidR="00CD484C" w:rsidRDefault="00CD484C">
      <w:pPr>
        <w:ind w:firstLine="397"/>
        <w:jc w:val="both"/>
        <w:rPr>
          <w:sz w:val="20"/>
          <w:szCs w:val="16"/>
        </w:rPr>
      </w:pPr>
    </w:p>
    <w:p w14:paraId="7D411F0F" w14:textId="77777777" w:rsidR="00CD484C" w:rsidRDefault="00CD484C">
      <w:pPr>
        <w:ind w:firstLine="397"/>
        <w:jc w:val="both"/>
        <w:rPr>
          <w:sz w:val="20"/>
          <w:szCs w:val="16"/>
        </w:rPr>
      </w:pPr>
    </w:p>
    <w:p w14:paraId="4651704B" w14:textId="77777777" w:rsidR="00CD484C" w:rsidRDefault="00CD484C">
      <w:pPr>
        <w:ind w:firstLine="397"/>
        <w:jc w:val="both"/>
        <w:rPr>
          <w:sz w:val="20"/>
          <w:szCs w:val="16"/>
        </w:rPr>
      </w:pPr>
    </w:p>
    <w:p w14:paraId="3D4DD22D" w14:textId="77777777" w:rsidR="00CD484C" w:rsidRDefault="00CD484C">
      <w:pPr>
        <w:ind w:firstLine="397"/>
        <w:jc w:val="both"/>
        <w:rPr>
          <w:sz w:val="20"/>
          <w:szCs w:val="16"/>
        </w:rPr>
      </w:pPr>
    </w:p>
    <w:p w14:paraId="6D84D585" w14:textId="77777777" w:rsidR="00CD484C" w:rsidRDefault="00CD484C">
      <w:pPr>
        <w:ind w:firstLine="397"/>
        <w:jc w:val="both"/>
        <w:rPr>
          <w:sz w:val="20"/>
          <w:szCs w:val="16"/>
        </w:rPr>
      </w:pPr>
    </w:p>
    <w:p w14:paraId="1C0052F8" w14:textId="77777777" w:rsidR="00CD484C" w:rsidRDefault="00CD484C">
      <w:pPr>
        <w:ind w:firstLine="397"/>
        <w:jc w:val="both"/>
        <w:rPr>
          <w:sz w:val="20"/>
          <w:szCs w:val="16"/>
        </w:rPr>
      </w:pPr>
    </w:p>
    <w:p w14:paraId="537BAD1D" w14:textId="77777777" w:rsidR="00CD484C" w:rsidRDefault="00CD484C">
      <w:pPr>
        <w:ind w:firstLine="397"/>
        <w:jc w:val="both"/>
        <w:rPr>
          <w:sz w:val="20"/>
          <w:szCs w:val="16"/>
        </w:rPr>
      </w:pPr>
    </w:p>
    <w:p w14:paraId="4AAD1424" w14:textId="77777777" w:rsidR="00CD484C" w:rsidRDefault="00CD484C">
      <w:pPr>
        <w:ind w:firstLine="397"/>
        <w:jc w:val="both"/>
        <w:rPr>
          <w:sz w:val="20"/>
          <w:szCs w:val="16"/>
        </w:rPr>
      </w:pPr>
    </w:p>
    <w:p w14:paraId="6CEA846A" w14:textId="77777777" w:rsidR="00CD484C" w:rsidRDefault="00CD484C">
      <w:pPr>
        <w:ind w:firstLine="397"/>
        <w:jc w:val="both"/>
        <w:rPr>
          <w:sz w:val="20"/>
          <w:szCs w:val="16"/>
        </w:rPr>
      </w:pPr>
    </w:p>
    <w:p w14:paraId="7BE6C074" w14:textId="77777777" w:rsidR="00CD484C" w:rsidRDefault="00CD484C">
      <w:pPr>
        <w:ind w:firstLine="397"/>
        <w:jc w:val="both"/>
        <w:rPr>
          <w:sz w:val="20"/>
          <w:szCs w:val="16"/>
        </w:rPr>
      </w:pPr>
    </w:p>
    <w:p w14:paraId="5E721C59" w14:textId="77777777" w:rsidR="00CD484C" w:rsidRDefault="00CD484C">
      <w:pPr>
        <w:ind w:firstLine="397"/>
        <w:jc w:val="both"/>
        <w:rPr>
          <w:sz w:val="20"/>
          <w:szCs w:val="16"/>
        </w:rPr>
      </w:pPr>
    </w:p>
    <w:p w14:paraId="5AB6660F" w14:textId="77777777" w:rsidR="00CD484C" w:rsidRDefault="00CD484C">
      <w:pPr>
        <w:ind w:firstLine="397"/>
        <w:jc w:val="both"/>
        <w:rPr>
          <w:sz w:val="20"/>
          <w:szCs w:val="16"/>
        </w:rPr>
      </w:pPr>
    </w:p>
    <w:p w14:paraId="22764496" w14:textId="77777777" w:rsidR="00CD484C" w:rsidRDefault="00CD484C">
      <w:pPr>
        <w:ind w:firstLine="397"/>
        <w:jc w:val="both"/>
        <w:rPr>
          <w:sz w:val="20"/>
          <w:szCs w:val="16"/>
        </w:rPr>
      </w:pPr>
    </w:p>
    <w:p w14:paraId="2E3200FD" w14:textId="77777777" w:rsidR="00CD484C" w:rsidRDefault="00CD484C">
      <w:pPr>
        <w:pStyle w:val="a3"/>
        <w:sectPr w:rsidR="00CD484C" w:rsidSect="00575D8E">
          <w:type w:val="continuous"/>
          <w:pgSz w:w="8392" w:h="11907" w:code="11"/>
          <w:pgMar w:top="567" w:right="1134" w:bottom="567" w:left="851" w:header="709" w:footer="709" w:gutter="0"/>
          <w:cols w:space="708"/>
          <w:docGrid w:linePitch="360"/>
        </w:sectPr>
      </w:pPr>
      <w:r>
        <w:lastRenderedPageBreak/>
        <w:t>Указатель авторов</w:t>
      </w:r>
    </w:p>
    <w:p w14:paraId="4F5CC339" w14:textId="77777777" w:rsidR="00CD484C" w:rsidRDefault="00CD484C">
      <w:pPr>
        <w:jc w:val="both"/>
        <w:rPr>
          <w:sz w:val="18"/>
          <w:szCs w:val="16"/>
        </w:rPr>
      </w:pPr>
      <w:r>
        <w:rPr>
          <w:sz w:val="18"/>
          <w:szCs w:val="16"/>
        </w:rPr>
        <w:t>Акбулатов И.М., 58</w:t>
      </w:r>
    </w:p>
    <w:p w14:paraId="34BA4F54" w14:textId="77777777" w:rsidR="00CD484C" w:rsidRDefault="00CD484C">
      <w:pPr>
        <w:jc w:val="both"/>
        <w:rPr>
          <w:sz w:val="18"/>
          <w:szCs w:val="16"/>
        </w:rPr>
      </w:pPr>
      <w:r>
        <w:rPr>
          <w:sz w:val="18"/>
          <w:szCs w:val="16"/>
        </w:rPr>
        <w:t>Алиев З.М., 19</w:t>
      </w:r>
    </w:p>
    <w:p w14:paraId="6A821963" w14:textId="77777777" w:rsidR="00CD484C" w:rsidRDefault="00CD484C">
      <w:pPr>
        <w:jc w:val="both"/>
        <w:rPr>
          <w:sz w:val="18"/>
          <w:szCs w:val="16"/>
        </w:rPr>
      </w:pPr>
      <w:r>
        <w:rPr>
          <w:sz w:val="18"/>
          <w:szCs w:val="16"/>
        </w:rPr>
        <w:t xml:space="preserve">Арне Т., см. Arne T.J.,13, 127 </w:t>
      </w:r>
    </w:p>
    <w:p w14:paraId="1C14DCEF" w14:textId="77777777" w:rsidR="00CD484C" w:rsidRDefault="00CD484C">
      <w:pPr>
        <w:jc w:val="both"/>
        <w:rPr>
          <w:sz w:val="18"/>
          <w:szCs w:val="16"/>
        </w:rPr>
      </w:pPr>
      <w:r>
        <w:rPr>
          <w:sz w:val="18"/>
          <w:szCs w:val="16"/>
        </w:rPr>
        <w:t>Артамонов М.И., 10, 39</w:t>
      </w:r>
    </w:p>
    <w:p w14:paraId="676C7ADD" w14:textId="77777777" w:rsidR="00CD484C" w:rsidRDefault="00CD484C">
      <w:pPr>
        <w:jc w:val="both"/>
        <w:rPr>
          <w:sz w:val="18"/>
          <w:szCs w:val="16"/>
        </w:rPr>
      </w:pPr>
      <w:r>
        <w:rPr>
          <w:sz w:val="18"/>
          <w:szCs w:val="16"/>
        </w:rPr>
        <w:t>Атагаррыев Е., 8, 83, 101</w:t>
      </w:r>
    </w:p>
    <w:p w14:paraId="47B25969" w14:textId="77777777" w:rsidR="00CD484C" w:rsidRDefault="00CD484C">
      <w:pPr>
        <w:jc w:val="both"/>
        <w:rPr>
          <w:sz w:val="18"/>
          <w:szCs w:val="16"/>
        </w:rPr>
      </w:pPr>
      <w:r>
        <w:rPr>
          <w:sz w:val="18"/>
          <w:szCs w:val="16"/>
        </w:rPr>
        <w:t>Атаходжаев А.Х., 31, 43, 53, 110, 113</w:t>
      </w:r>
    </w:p>
    <w:p w14:paraId="201CE4EB" w14:textId="77777777" w:rsidR="00CD484C" w:rsidRDefault="00CD484C">
      <w:pPr>
        <w:jc w:val="both"/>
        <w:rPr>
          <w:sz w:val="18"/>
          <w:szCs w:val="16"/>
        </w:rPr>
      </w:pPr>
      <w:r>
        <w:rPr>
          <w:sz w:val="18"/>
          <w:szCs w:val="16"/>
        </w:rPr>
        <w:t xml:space="preserve">Ахунбабаев Х.Г., 10 </w:t>
      </w:r>
    </w:p>
    <w:p w14:paraId="0F86C1B3" w14:textId="77777777" w:rsidR="00CD484C" w:rsidRDefault="00CD484C">
      <w:pPr>
        <w:jc w:val="both"/>
        <w:rPr>
          <w:sz w:val="18"/>
          <w:szCs w:val="16"/>
        </w:rPr>
      </w:pPr>
      <w:r>
        <w:rPr>
          <w:sz w:val="18"/>
          <w:szCs w:val="16"/>
        </w:rPr>
        <w:t xml:space="preserve">Большаков О.Г., 9, 14, 22, 116, 133 </w:t>
      </w:r>
    </w:p>
    <w:p w14:paraId="3FC19797" w14:textId="77777777" w:rsidR="00CD484C" w:rsidRDefault="00CD484C">
      <w:pPr>
        <w:jc w:val="both"/>
        <w:rPr>
          <w:sz w:val="18"/>
          <w:szCs w:val="16"/>
        </w:rPr>
      </w:pPr>
      <w:r>
        <w:rPr>
          <w:sz w:val="18"/>
          <w:szCs w:val="16"/>
        </w:rPr>
        <w:t>Бартольд В.В., 7, 70, 90–92, 102, 125</w:t>
      </w:r>
    </w:p>
    <w:p w14:paraId="00E1521A" w14:textId="77777777" w:rsidR="00CD484C" w:rsidRDefault="00CD484C">
      <w:pPr>
        <w:jc w:val="both"/>
        <w:rPr>
          <w:sz w:val="18"/>
          <w:szCs w:val="16"/>
        </w:rPr>
      </w:pPr>
      <w:r>
        <w:rPr>
          <w:sz w:val="18"/>
          <w:szCs w:val="16"/>
        </w:rPr>
        <w:t>Бауэр Н.П., 53</w:t>
      </w:r>
    </w:p>
    <w:p w14:paraId="5F17658B" w14:textId="77777777" w:rsidR="00CD484C" w:rsidRDefault="00CD484C">
      <w:pPr>
        <w:jc w:val="both"/>
        <w:rPr>
          <w:sz w:val="18"/>
          <w:szCs w:val="16"/>
        </w:rPr>
      </w:pPr>
      <w:r>
        <w:rPr>
          <w:sz w:val="18"/>
          <w:szCs w:val="16"/>
        </w:rPr>
        <w:t>Беговатов Е.А., 116</w:t>
      </w:r>
    </w:p>
    <w:p w14:paraId="1F9F64E2" w14:textId="77777777" w:rsidR="00CD484C" w:rsidRDefault="00CD484C">
      <w:pPr>
        <w:jc w:val="both"/>
        <w:rPr>
          <w:sz w:val="18"/>
          <w:szCs w:val="16"/>
        </w:rPr>
      </w:pPr>
      <w:r>
        <w:rPr>
          <w:sz w:val="18"/>
          <w:szCs w:val="16"/>
        </w:rPr>
        <w:t>Болин С. / Bolin S./, 41, 61, 64</w:t>
      </w:r>
    </w:p>
    <w:p w14:paraId="40EDF9CF" w14:textId="77777777" w:rsidR="00CD484C" w:rsidRDefault="00CD484C">
      <w:pPr>
        <w:jc w:val="both"/>
        <w:rPr>
          <w:sz w:val="18"/>
          <w:szCs w:val="16"/>
        </w:rPr>
      </w:pPr>
      <w:r>
        <w:rPr>
          <w:sz w:val="18"/>
          <w:szCs w:val="16"/>
        </w:rPr>
        <w:t>Босворт К.Е., 82, 110</w:t>
      </w:r>
    </w:p>
    <w:p w14:paraId="04954D86" w14:textId="77777777" w:rsidR="00CD484C" w:rsidRDefault="00CD484C">
      <w:pPr>
        <w:jc w:val="both"/>
        <w:rPr>
          <w:sz w:val="18"/>
          <w:szCs w:val="16"/>
        </w:rPr>
      </w:pPr>
      <w:r>
        <w:rPr>
          <w:sz w:val="18"/>
          <w:szCs w:val="16"/>
        </w:rPr>
        <w:t>Буряков Ю.Ф., 49, 110</w:t>
      </w:r>
    </w:p>
    <w:p w14:paraId="6ECBC08E" w14:textId="77777777" w:rsidR="00CD484C" w:rsidRDefault="00CD484C">
      <w:pPr>
        <w:jc w:val="both"/>
        <w:rPr>
          <w:sz w:val="18"/>
          <w:szCs w:val="16"/>
        </w:rPr>
      </w:pPr>
      <w:r>
        <w:rPr>
          <w:sz w:val="18"/>
          <w:szCs w:val="16"/>
        </w:rPr>
        <w:t>Быков А.А., 122</w:t>
      </w:r>
    </w:p>
    <w:p w14:paraId="19A6EE3E" w14:textId="77777777" w:rsidR="00CD484C" w:rsidRDefault="00CD484C">
      <w:pPr>
        <w:jc w:val="both"/>
        <w:rPr>
          <w:sz w:val="18"/>
          <w:szCs w:val="16"/>
        </w:rPr>
      </w:pPr>
      <w:r>
        <w:rPr>
          <w:sz w:val="18"/>
          <w:szCs w:val="16"/>
        </w:rPr>
        <w:t>Валеев Р.М., 32, 115</w:t>
      </w:r>
    </w:p>
    <w:p w14:paraId="340E6E4E" w14:textId="77777777" w:rsidR="00CD484C" w:rsidRDefault="00CD484C">
      <w:pPr>
        <w:jc w:val="both"/>
        <w:rPr>
          <w:sz w:val="18"/>
          <w:szCs w:val="16"/>
        </w:rPr>
      </w:pPr>
      <w:r>
        <w:rPr>
          <w:sz w:val="18"/>
          <w:szCs w:val="16"/>
        </w:rPr>
        <w:t>Верма Х.К., см., Verma H.C., 83</w:t>
      </w:r>
    </w:p>
    <w:p w14:paraId="28AA7F81" w14:textId="77777777" w:rsidR="00CD484C" w:rsidRDefault="00CD484C">
      <w:pPr>
        <w:jc w:val="both"/>
        <w:rPr>
          <w:sz w:val="18"/>
          <w:szCs w:val="16"/>
        </w:rPr>
      </w:pPr>
      <w:r>
        <w:rPr>
          <w:sz w:val="18"/>
          <w:szCs w:val="16"/>
        </w:rPr>
        <w:t>Вестердаль К., 12</w:t>
      </w:r>
    </w:p>
    <w:p w14:paraId="2FEA312F" w14:textId="77777777" w:rsidR="00CD484C" w:rsidRDefault="00CD484C">
      <w:pPr>
        <w:jc w:val="both"/>
        <w:rPr>
          <w:sz w:val="18"/>
          <w:szCs w:val="16"/>
        </w:rPr>
      </w:pPr>
      <w:r>
        <w:rPr>
          <w:sz w:val="18"/>
          <w:szCs w:val="16"/>
        </w:rPr>
        <w:t>Вилкуна К., 25</w:t>
      </w:r>
    </w:p>
    <w:p w14:paraId="466DB031" w14:textId="77777777" w:rsidR="00CD484C" w:rsidRDefault="00CD484C">
      <w:pPr>
        <w:jc w:val="both"/>
        <w:rPr>
          <w:sz w:val="18"/>
          <w:szCs w:val="16"/>
        </w:rPr>
      </w:pPr>
      <w:r>
        <w:rPr>
          <w:sz w:val="18"/>
          <w:szCs w:val="16"/>
        </w:rPr>
        <w:t>Владыкин В.Е., 128, 131, 133</w:t>
      </w:r>
    </w:p>
    <w:p w14:paraId="790D12A7" w14:textId="77777777" w:rsidR="00CD484C" w:rsidRDefault="00CD484C">
      <w:pPr>
        <w:jc w:val="both"/>
        <w:rPr>
          <w:sz w:val="18"/>
          <w:szCs w:val="16"/>
        </w:rPr>
      </w:pPr>
      <w:r>
        <w:rPr>
          <w:sz w:val="18"/>
          <w:szCs w:val="16"/>
        </w:rPr>
        <w:t>Гайдуков П.Г., 4, 24, 53, 123</w:t>
      </w:r>
    </w:p>
    <w:p w14:paraId="05917C1E" w14:textId="77777777" w:rsidR="00CD484C" w:rsidRDefault="00CD484C">
      <w:pPr>
        <w:jc w:val="both"/>
        <w:rPr>
          <w:sz w:val="18"/>
          <w:szCs w:val="16"/>
        </w:rPr>
      </w:pPr>
      <w:r>
        <w:rPr>
          <w:sz w:val="18"/>
          <w:szCs w:val="16"/>
        </w:rPr>
        <w:t>Генинг В.Ф., 10</w:t>
      </w:r>
    </w:p>
    <w:p w14:paraId="395350A8" w14:textId="77777777" w:rsidR="00CD484C" w:rsidRDefault="00CD484C">
      <w:pPr>
        <w:jc w:val="both"/>
        <w:rPr>
          <w:sz w:val="18"/>
          <w:szCs w:val="16"/>
        </w:rPr>
      </w:pPr>
      <w:r>
        <w:rPr>
          <w:sz w:val="18"/>
          <w:szCs w:val="16"/>
        </w:rPr>
        <w:t>Глазырина Г.В., 114</w:t>
      </w:r>
    </w:p>
    <w:p w14:paraId="4C4A1AFE" w14:textId="77777777" w:rsidR="00CD484C" w:rsidRDefault="00CD484C">
      <w:pPr>
        <w:jc w:val="both"/>
        <w:rPr>
          <w:sz w:val="18"/>
          <w:szCs w:val="16"/>
        </w:rPr>
      </w:pPr>
      <w:r>
        <w:rPr>
          <w:sz w:val="18"/>
          <w:szCs w:val="16"/>
        </w:rPr>
        <w:t>Голб Н., 24, 38, 91</w:t>
      </w:r>
    </w:p>
    <w:p w14:paraId="51FA5392" w14:textId="77777777" w:rsidR="00CD484C" w:rsidRDefault="00CD484C">
      <w:pPr>
        <w:jc w:val="both"/>
        <w:rPr>
          <w:sz w:val="18"/>
          <w:szCs w:val="16"/>
        </w:rPr>
      </w:pPr>
      <w:r>
        <w:rPr>
          <w:sz w:val="18"/>
          <w:szCs w:val="16"/>
        </w:rPr>
        <w:t>Голдина Р.Д., 13, 130</w:t>
      </w:r>
    </w:p>
    <w:p w14:paraId="0B64E4F4" w14:textId="77777777" w:rsidR="00CD484C" w:rsidRDefault="00CD484C">
      <w:pPr>
        <w:jc w:val="both"/>
        <w:rPr>
          <w:sz w:val="18"/>
          <w:szCs w:val="16"/>
        </w:rPr>
      </w:pPr>
      <w:r>
        <w:rPr>
          <w:sz w:val="18"/>
          <w:szCs w:val="16"/>
        </w:rPr>
        <w:t>Горский А.А., 24</w:t>
      </w:r>
    </w:p>
    <w:p w14:paraId="38B0211C" w14:textId="77777777" w:rsidR="00CD484C" w:rsidRDefault="00CD484C">
      <w:pPr>
        <w:jc w:val="both"/>
        <w:rPr>
          <w:sz w:val="18"/>
          <w:szCs w:val="16"/>
        </w:rPr>
      </w:pPr>
      <w:r>
        <w:rPr>
          <w:sz w:val="18"/>
          <w:szCs w:val="16"/>
        </w:rPr>
        <w:t>Давидович Е.А., 18, 49, 53, 65, 110, 116, 118</w:t>
      </w:r>
    </w:p>
    <w:p w14:paraId="57F2F90D" w14:textId="77777777" w:rsidR="00CD484C" w:rsidRDefault="00CD484C">
      <w:pPr>
        <w:jc w:val="both"/>
        <w:rPr>
          <w:sz w:val="18"/>
          <w:szCs w:val="16"/>
        </w:rPr>
      </w:pPr>
      <w:r>
        <w:rPr>
          <w:sz w:val="18"/>
          <w:szCs w:val="16"/>
        </w:rPr>
        <w:t>Даркевич В.П., 9, 11, 58, 130–131</w:t>
      </w:r>
    </w:p>
    <w:p w14:paraId="1F49454F" w14:textId="77777777" w:rsidR="00CD484C" w:rsidRDefault="00CD484C">
      <w:pPr>
        <w:jc w:val="both"/>
        <w:rPr>
          <w:sz w:val="18"/>
          <w:szCs w:val="16"/>
        </w:rPr>
      </w:pPr>
      <w:r>
        <w:rPr>
          <w:sz w:val="18"/>
          <w:szCs w:val="16"/>
        </w:rPr>
        <w:t>Джаксон Т.Н., 6, 25, 50, 131</w:t>
      </w:r>
    </w:p>
    <w:p w14:paraId="58F4BC84" w14:textId="77777777" w:rsidR="00CD484C" w:rsidRDefault="00CD484C">
      <w:pPr>
        <w:jc w:val="both"/>
        <w:rPr>
          <w:sz w:val="18"/>
          <w:szCs w:val="16"/>
        </w:rPr>
      </w:pPr>
      <w:r>
        <w:rPr>
          <w:sz w:val="18"/>
          <w:szCs w:val="16"/>
        </w:rPr>
        <w:t>Джалаганиа И.Л., 70, 93</w:t>
      </w:r>
    </w:p>
    <w:p w14:paraId="3FF10578" w14:textId="77777777" w:rsidR="00CD484C" w:rsidRDefault="00CD484C">
      <w:pPr>
        <w:jc w:val="both"/>
        <w:rPr>
          <w:sz w:val="18"/>
          <w:szCs w:val="16"/>
        </w:rPr>
      </w:pPr>
      <w:r>
        <w:rPr>
          <w:sz w:val="18"/>
          <w:szCs w:val="16"/>
        </w:rPr>
        <w:t>Добровольский И.Г., 61, 110</w:t>
      </w:r>
    </w:p>
    <w:p w14:paraId="1C6BAD8E" w14:textId="77777777" w:rsidR="00CD484C" w:rsidRDefault="00CD484C">
      <w:pPr>
        <w:jc w:val="both"/>
        <w:rPr>
          <w:sz w:val="18"/>
          <w:szCs w:val="16"/>
        </w:rPr>
      </w:pPr>
      <w:r>
        <w:rPr>
          <w:sz w:val="18"/>
          <w:szCs w:val="16"/>
        </w:rPr>
        <w:t>Дубов И.В., 7, 61</w:t>
      </w:r>
    </w:p>
    <w:p w14:paraId="69EDD5B5" w14:textId="77777777" w:rsidR="00CD484C" w:rsidRDefault="00CD484C">
      <w:pPr>
        <w:jc w:val="both"/>
        <w:rPr>
          <w:sz w:val="18"/>
          <w:szCs w:val="16"/>
        </w:rPr>
      </w:pPr>
      <w:r>
        <w:rPr>
          <w:sz w:val="18"/>
          <w:szCs w:val="16"/>
        </w:rPr>
        <w:t>Дьяконов И.М., 11</w:t>
      </w:r>
    </w:p>
    <w:p w14:paraId="642C78A3" w14:textId="77777777" w:rsidR="00CD484C" w:rsidRDefault="00CD484C">
      <w:pPr>
        <w:jc w:val="both"/>
        <w:rPr>
          <w:sz w:val="18"/>
          <w:szCs w:val="16"/>
        </w:rPr>
      </w:pPr>
      <w:r>
        <w:rPr>
          <w:sz w:val="18"/>
          <w:szCs w:val="16"/>
        </w:rPr>
        <w:t>Жеребцов Л.Н., 133</w:t>
      </w:r>
    </w:p>
    <w:p w14:paraId="191CF709" w14:textId="77777777" w:rsidR="00CD484C" w:rsidRDefault="00CD484C">
      <w:pPr>
        <w:jc w:val="both"/>
        <w:rPr>
          <w:sz w:val="18"/>
          <w:szCs w:val="16"/>
        </w:rPr>
      </w:pPr>
      <w:r>
        <w:rPr>
          <w:sz w:val="18"/>
          <w:szCs w:val="16"/>
        </w:rPr>
        <w:t>Иванов А.Г., 126, 132</w:t>
      </w:r>
    </w:p>
    <w:p w14:paraId="073DC461" w14:textId="77777777" w:rsidR="00CD484C" w:rsidRDefault="00CD484C">
      <w:pPr>
        <w:jc w:val="both"/>
        <w:rPr>
          <w:sz w:val="18"/>
          <w:szCs w:val="16"/>
        </w:rPr>
      </w:pPr>
      <w:r>
        <w:rPr>
          <w:sz w:val="18"/>
          <w:szCs w:val="16"/>
        </w:rPr>
        <w:t>Иванова М.Г., 126, 129–130</w:t>
      </w:r>
    </w:p>
    <w:p w14:paraId="67A361E0" w14:textId="77777777" w:rsidR="00CD484C" w:rsidRDefault="00CD484C">
      <w:pPr>
        <w:jc w:val="both"/>
        <w:rPr>
          <w:sz w:val="18"/>
          <w:szCs w:val="16"/>
        </w:rPr>
      </w:pPr>
      <w:r>
        <w:rPr>
          <w:sz w:val="18"/>
          <w:szCs w:val="16"/>
        </w:rPr>
        <w:t>Калинин В.А., 55–56, 65</w:t>
      </w:r>
    </w:p>
    <w:p w14:paraId="01EEC7C3" w14:textId="77777777" w:rsidR="00CD484C" w:rsidRDefault="00CD484C">
      <w:pPr>
        <w:jc w:val="both"/>
        <w:rPr>
          <w:sz w:val="18"/>
          <w:szCs w:val="16"/>
        </w:rPr>
      </w:pPr>
      <w:r>
        <w:rPr>
          <w:sz w:val="18"/>
          <w:szCs w:val="16"/>
        </w:rPr>
        <w:t>Калинина Т.М., 22, 48, 125</w:t>
      </w:r>
    </w:p>
    <w:p w14:paraId="40724135" w14:textId="77777777" w:rsidR="00CD484C" w:rsidRDefault="00CD484C">
      <w:pPr>
        <w:jc w:val="both"/>
        <w:rPr>
          <w:sz w:val="18"/>
          <w:szCs w:val="16"/>
        </w:rPr>
      </w:pPr>
      <w:r>
        <w:rPr>
          <w:sz w:val="18"/>
          <w:szCs w:val="16"/>
        </w:rPr>
        <w:t>Кананин В.А., 13, 128</w:t>
      </w:r>
    </w:p>
    <w:p w14:paraId="7A3C5F07" w14:textId="77777777" w:rsidR="00CD484C" w:rsidRDefault="00CD484C">
      <w:pPr>
        <w:jc w:val="both"/>
        <w:rPr>
          <w:sz w:val="18"/>
          <w:szCs w:val="16"/>
        </w:rPr>
      </w:pPr>
      <w:r>
        <w:rPr>
          <w:sz w:val="18"/>
          <w:szCs w:val="16"/>
        </w:rPr>
        <w:t>Каштанов С.М., 19</w:t>
      </w:r>
    </w:p>
    <w:p w14:paraId="7916790A" w14:textId="77777777" w:rsidR="00CD484C" w:rsidRDefault="00CD484C">
      <w:pPr>
        <w:jc w:val="both"/>
        <w:rPr>
          <w:sz w:val="18"/>
          <w:szCs w:val="16"/>
        </w:rPr>
      </w:pPr>
      <w:r>
        <w:rPr>
          <w:sz w:val="18"/>
          <w:szCs w:val="16"/>
        </w:rPr>
        <w:t>Клейн Л.С., 63</w:t>
      </w:r>
    </w:p>
    <w:p w14:paraId="6E2E6B3E" w14:textId="77777777" w:rsidR="00CD484C" w:rsidRDefault="00CD484C">
      <w:pPr>
        <w:jc w:val="both"/>
        <w:rPr>
          <w:sz w:val="18"/>
          <w:szCs w:val="16"/>
        </w:rPr>
      </w:pPr>
      <w:r>
        <w:rPr>
          <w:sz w:val="18"/>
          <w:szCs w:val="16"/>
        </w:rPr>
        <w:t>Ковалевский А.П., 133</w:t>
      </w:r>
    </w:p>
    <w:p w14:paraId="05D5180C" w14:textId="77777777" w:rsidR="00CD484C" w:rsidRDefault="00CD484C">
      <w:pPr>
        <w:jc w:val="both"/>
        <w:rPr>
          <w:sz w:val="18"/>
          <w:szCs w:val="16"/>
        </w:rPr>
      </w:pPr>
      <w:r>
        <w:rPr>
          <w:sz w:val="18"/>
          <w:szCs w:val="16"/>
        </w:rPr>
        <w:t>Ковалёв Р.К., 4, 15, 61–62</w:t>
      </w:r>
    </w:p>
    <w:p w14:paraId="5B0834D6" w14:textId="77777777" w:rsidR="00CD484C" w:rsidRDefault="00CD484C">
      <w:pPr>
        <w:jc w:val="both"/>
        <w:rPr>
          <w:sz w:val="18"/>
          <w:szCs w:val="16"/>
        </w:rPr>
      </w:pPr>
      <w:r>
        <w:rPr>
          <w:sz w:val="18"/>
          <w:szCs w:val="16"/>
        </w:rPr>
        <w:t>Колесников А.И., 8</w:t>
      </w:r>
    </w:p>
    <w:p w14:paraId="64DFE396" w14:textId="77777777" w:rsidR="00CD484C" w:rsidRDefault="00CD484C">
      <w:pPr>
        <w:jc w:val="both"/>
        <w:rPr>
          <w:sz w:val="18"/>
          <w:szCs w:val="16"/>
        </w:rPr>
      </w:pPr>
      <w:r>
        <w:rPr>
          <w:sz w:val="18"/>
          <w:szCs w:val="16"/>
        </w:rPr>
        <w:t>Колызин А.М., 13</w:t>
      </w:r>
    </w:p>
    <w:p w14:paraId="7C2AD644" w14:textId="77777777" w:rsidR="00CD484C" w:rsidRDefault="00CD484C">
      <w:pPr>
        <w:jc w:val="both"/>
        <w:rPr>
          <w:sz w:val="18"/>
          <w:szCs w:val="16"/>
        </w:rPr>
      </w:pPr>
      <w:r>
        <w:rPr>
          <w:sz w:val="18"/>
          <w:szCs w:val="16"/>
        </w:rPr>
        <w:t>Коновалова И.Г., 22, 78, 96, 115</w:t>
      </w:r>
    </w:p>
    <w:p w14:paraId="126AFAAC" w14:textId="77777777" w:rsidR="00CD484C" w:rsidRDefault="00CD484C">
      <w:pPr>
        <w:jc w:val="both"/>
        <w:rPr>
          <w:sz w:val="18"/>
          <w:szCs w:val="16"/>
        </w:rPr>
      </w:pPr>
      <w:r>
        <w:rPr>
          <w:sz w:val="18"/>
          <w:szCs w:val="16"/>
        </w:rPr>
        <w:t>Кочнев Б.Д., 30–31, 33, 43, 53, 65, 94, 109, 112–113</w:t>
      </w:r>
    </w:p>
    <w:p w14:paraId="2D1F57A7" w14:textId="77777777" w:rsidR="00CD484C" w:rsidRDefault="00CD484C">
      <w:pPr>
        <w:jc w:val="both"/>
        <w:rPr>
          <w:sz w:val="18"/>
          <w:szCs w:val="16"/>
        </w:rPr>
      </w:pPr>
      <w:r>
        <w:rPr>
          <w:sz w:val="18"/>
          <w:szCs w:val="16"/>
        </w:rPr>
        <w:t>Крикис Я.К., 10</w:t>
      </w:r>
    </w:p>
    <w:p w14:paraId="267259DE" w14:textId="77777777" w:rsidR="00CD484C" w:rsidRDefault="00CD484C">
      <w:pPr>
        <w:jc w:val="both"/>
        <w:rPr>
          <w:sz w:val="18"/>
          <w:szCs w:val="16"/>
        </w:rPr>
      </w:pPr>
      <w:r>
        <w:rPr>
          <w:sz w:val="18"/>
          <w:szCs w:val="16"/>
        </w:rPr>
        <w:t>Кропоткин В.В., 10–11, 15, 24, 26</w:t>
      </w:r>
    </w:p>
    <w:p w14:paraId="0BEE55F8" w14:textId="77777777" w:rsidR="00CD484C" w:rsidRDefault="00CD484C">
      <w:pPr>
        <w:jc w:val="both"/>
        <w:rPr>
          <w:sz w:val="18"/>
          <w:szCs w:val="16"/>
        </w:rPr>
      </w:pPr>
      <w:r>
        <w:rPr>
          <w:sz w:val="18"/>
          <w:szCs w:val="16"/>
        </w:rPr>
        <w:t>Кудрявцев А.А., 78</w:t>
      </w:r>
    </w:p>
    <w:p w14:paraId="5164C709" w14:textId="77777777" w:rsidR="00CD484C" w:rsidRDefault="00CD484C">
      <w:pPr>
        <w:jc w:val="both"/>
        <w:rPr>
          <w:sz w:val="18"/>
          <w:szCs w:val="16"/>
        </w:rPr>
      </w:pPr>
      <w:r>
        <w:rPr>
          <w:sz w:val="18"/>
          <w:szCs w:val="16"/>
        </w:rPr>
        <w:t>Кузьмин С.Л., 20</w:t>
      </w:r>
    </w:p>
    <w:p w14:paraId="22348A19" w14:textId="77777777" w:rsidR="00CD484C" w:rsidRDefault="00CD484C">
      <w:pPr>
        <w:jc w:val="both"/>
        <w:rPr>
          <w:sz w:val="18"/>
          <w:szCs w:val="16"/>
        </w:rPr>
      </w:pPr>
      <w:r>
        <w:rPr>
          <w:sz w:val="18"/>
          <w:szCs w:val="16"/>
        </w:rPr>
        <w:t>Кызласов И.Л., 21</w:t>
      </w:r>
    </w:p>
    <w:p w14:paraId="54A2B527" w14:textId="77777777" w:rsidR="00CD484C" w:rsidRDefault="00CD484C">
      <w:pPr>
        <w:jc w:val="both"/>
        <w:rPr>
          <w:sz w:val="18"/>
          <w:szCs w:val="16"/>
        </w:rPr>
      </w:pPr>
      <w:r>
        <w:rPr>
          <w:sz w:val="18"/>
          <w:szCs w:val="16"/>
        </w:rPr>
        <w:t>Кызласов Л.Р., 125</w:t>
      </w:r>
    </w:p>
    <w:p w14:paraId="010C6B5E" w14:textId="77777777" w:rsidR="00CD484C" w:rsidRDefault="00CD484C">
      <w:pPr>
        <w:jc w:val="both"/>
        <w:rPr>
          <w:sz w:val="18"/>
          <w:szCs w:val="16"/>
        </w:rPr>
      </w:pPr>
      <w:r>
        <w:rPr>
          <w:sz w:val="18"/>
          <w:szCs w:val="16"/>
        </w:rPr>
        <w:t>Лелеков Л.А., 8</w:t>
      </w:r>
    </w:p>
    <w:p w14:paraId="547FB297" w14:textId="77777777" w:rsidR="00CD484C" w:rsidRDefault="00CD484C">
      <w:pPr>
        <w:jc w:val="both"/>
        <w:rPr>
          <w:sz w:val="18"/>
          <w:szCs w:val="16"/>
        </w:rPr>
      </w:pPr>
      <w:r>
        <w:rPr>
          <w:sz w:val="18"/>
          <w:szCs w:val="16"/>
        </w:rPr>
        <w:t>Леонтьев А.Е., 125</w:t>
      </w:r>
    </w:p>
    <w:p w14:paraId="41F32299" w14:textId="77777777" w:rsidR="00CD484C" w:rsidRDefault="00CD484C">
      <w:pPr>
        <w:jc w:val="both"/>
        <w:rPr>
          <w:sz w:val="18"/>
          <w:szCs w:val="16"/>
        </w:rPr>
      </w:pPr>
      <w:r>
        <w:rPr>
          <w:sz w:val="18"/>
          <w:szCs w:val="16"/>
        </w:rPr>
        <w:t>Лещенко В.Ю., 8–9, 11</w:t>
      </w:r>
    </w:p>
    <w:p w14:paraId="2783216C" w14:textId="77777777" w:rsidR="00CD484C" w:rsidRDefault="00CD484C">
      <w:pPr>
        <w:jc w:val="both"/>
        <w:rPr>
          <w:sz w:val="18"/>
          <w:szCs w:val="16"/>
        </w:rPr>
      </w:pPr>
      <w:r>
        <w:rPr>
          <w:sz w:val="18"/>
          <w:szCs w:val="16"/>
        </w:rPr>
        <w:t>Лившиц В.А., 9</w:t>
      </w:r>
    </w:p>
    <w:p w14:paraId="6CA5FDE7" w14:textId="77777777" w:rsidR="00CD484C" w:rsidRDefault="00CD484C">
      <w:pPr>
        <w:jc w:val="both"/>
        <w:rPr>
          <w:sz w:val="18"/>
          <w:szCs w:val="16"/>
        </w:rPr>
      </w:pPr>
      <w:r>
        <w:rPr>
          <w:sz w:val="18"/>
          <w:szCs w:val="16"/>
        </w:rPr>
        <w:t>Литвинский Б.А., 110</w:t>
      </w:r>
    </w:p>
    <w:p w14:paraId="370A86AC" w14:textId="77777777" w:rsidR="00CD484C" w:rsidRDefault="00CD484C">
      <w:pPr>
        <w:jc w:val="both"/>
        <w:rPr>
          <w:sz w:val="18"/>
          <w:szCs w:val="16"/>
        </w:rPr>
      </w:pPr>
      <w:r>
        <w:rPr>
          <w:sz w:val="18"/>
          <w:szCs w:val="16"/>
        </w:rPr>
        <w:t>Лихачев А.Ф., 29, 98, 100, 102–103, 105–106, 113</w:t>
      </w:r>
    </w:p>
    <w:p w14:paraId="29DD42C9" w14:textId="77777777" w:rsidR="00CD484C" w:rsidRDefault="00CD484C">
      <w:pPr>
        <w:jc w:val="both"/>
        <w:rPr>
          <w:sz w:val="18"/>
          <w:szCs w:val="16"/>
        </w:rPr>
      </w:pPr>
      <w:r>
        <w:rPr>
          <w:sz w:val="18"/>
          <w:szCs w:val="16"/>
        </w:rPr>
        <w:t>Луконин В.Г., 9</w:t>
      </w:r>
    </w:p>
    <w:p w14:paraId="2857EBBE" w14:textId="77777777" w:rsidR="00CD484C" w:rsidRDefault="00CD484C">
      <w:pPr>
        <w:jc w:val="both"/>
        <w:rPr>
          <w:sz w:val="18"/>
          <w:szCs w:val="16"/>
        </w:rPr>
      </w:pPr>
      <w:r>
        <w:rPr>
          <w:sz w:val="18"/>
          <w:szCs w:val="16"/>
        </w:rPr>
        <w:t xml:space="preserve">Лунина С.Б., 53 </w:t>
      </w:r>
    </w:p>
    <w:p w14:paraId="4FFB9FE1" w14:textId="77777777" w:rsidR="00CD484C" w:rsidRDefault="00CD484C">
      <w:pPr>
        <w:jc w:val="both"/>
        <w:rPr>
          <w:sz w:val="18"/>
          <w:szCs w:val="16"/>
        </w:rPr>
      </w:pPr>
      <w:r>
        <w:rPr>
          <w:sz w:val="18"/>
          <w:szCs w:val="16"/>
        </w:rPr>
        <w:t>Макаров Н.А., 6, 12, 25</w:t>
      </w:r>
    </w:p>
    <w:p w14:paraId="03315C00" w14:textId="77777777" w:rsidR="00CD484C" w:rsidRDefault="00CD484C">
      <w:pPr>
        <w:jc w:val="both"/>
        <w:rPr>
          <w:spacing w:val="-4"/>
          <w:sz w:val="18"/>
          <w:szCs w:val="16"/>
        </w:rPr>
      </w:pPr>
      <w:r>
        <w:rPr>
          <w:spacing w:val="-4"/>
          <w:sz w:val="18"/>
          <w:szCs w:val="16"/>
        </w:rPr>
        <w:t>Марков А.К., 13, 16–18, 20, 26, 30–31, 35, 37, 41, 45–46, 48, 58–60, 84, 92–93, 100, 104, 106–107, 111, 113, 115, 121–122</w:t>
      </w:r>
    </w:p>
    <w:p w14:paraId="17A316A3" w14:textId="77777777" w:rsidR="00CD484C" w:rsidRDefault="00CD484C">
      <w:pPr>
        <w:jc w:val="both"/>
        <w:rPr>
          <w:sz w:val="18"/>
          <w:szCs w:val="16"/>
        </w:rPr>
      </w:pPr>
      <w:r>
        <w:rPr>
          <w:sz w:val="18"/>
          <w:szCs w:val="16"/>
        </w:rPr>
        <w:t>Мачинский Д.А., 13, 125</w:t>
      </w:r>
    </w:p>
    <w:p w14:paraId="66A82C41" w14:textId="77777777" w:rsidR="00CD484C" w:rsidRDefault="00CD484C">
      <w:pPr>
        <w:jc w:val="both"/>
        <w:rPr>
          <w:sz w:val="18"/>
          <w:szCs w:val="16"/>
        </w:rPr>
      </w:pPr>
      <w:r>
        <w:rPr>
          <w:sz w:val="18"/>
          <w:szCs w:val="16"/>
        </w:rPr>
        <w:t>Маршак Б.И., 9–10, 20, 58, 116</w:t>
      </w:r>
    </w:p>
    <w:p w14:paraId="5CB69D91" w14:textId="77777777" w:rsidR="00CD484C" w:rsidRDefault="00CD484C">
      <w:pPr>
        <w:jc w:val="both"/>
        <w:rPr>
          <w:sz w:val="18"/>
          <w:szCs w:val="16"/>
        </w:rPr>
      </w:pPr>
      <w:r>
        <w:rPr>
          <w:sz w:val="18"/>
          <w:szCs w:val="16"/>
        </w:rPr>
        <w:t>Массон В.М., 105</w:t>
      </w:r>
    </w:p>
    <w:p w14:paraId="64C7A95A" w14:textId="77777777" w:rsidR="00CD484C" w:rsidRDefault="00CD484C">
      <w:pPr>
        <w:jc w:val="both"/>
        <w:rPr>
          <w:sz w:val="18"/>
          <w:szCs w:val="16"/>
        </w:rPr>
      </w:pPr>
      <w:r>
        <w:rPr>
          <w:sz w:val="18"/>
          <w:szCs w:val="16"/>
        </w:rPr>
        <w:t>Массон М.Е., 9, 18, 49, 55, 65, 101, 110</w:t>
      </w:r>
    </w:p>
    <w:p w14:paraId="5AB8CE31" w14:textId="77777777" w:rsidR="00CD484C" w:rsidRDefault="00CD484C">
      <w:pPr>
        <w:jc w:val="both"/>
        <w:rPr>
          <w:sz w:val="18"/>
          <w:szCs w:val="16"/>
        </w:rPr>
      </w:pPr>
      <w:r>
        <w:rPr>
          <w:sz w:val="18"/>
          <w:szCs w:val="16"/>
        </w:rPr>
        <w:t>Мельникова Е.А., 25, 70, 102, 104, 114–115, 131</w:t>
      </w:r>
    </w:p>
    <w:p w14:paraId="7ECB083C" w14:textId="77777777" w:rsidR="00CD484C" w:rsidRDefault="00CD484C">
      <w:pPr>
        <w:jc w:val="both"/>
        <w:rPr>
          <w:sz w:val="18"/>
          <w:szCs w:val="16"/>
        </w:rPr>
      </w:pPr>
      <w:r>
        <w:rPr>
          <w:sz w:val="18"/>
          <w:szCs w:val="16"/>
        </w:rPr>
        <w:t>Мец А., 39</w:t>
      </w:r>
    </w:p>
    <w:p w14:paraId="4E07EF37" w14:textId="77777777" w:rsidR="00CD484C" w:rsidRDefault="00CD484C">
      <w:pPr>
        <w:jc w:val="both"/>
        <w:rPr>
          <w:sz w:val="18"/>
          <w:szCs w:val="16"/>
        </w:rPr>
      </w:pPr>
      <w:r>
        <w:rPr>
          <w:sz w:val="18"/>
          <w:szCs w:val="16"/>
        </w:rPr>
        <w:t>Микульский Д.В., 82–84</w:t>
      </w:r>
    </w:p>
    <w:p w14:paraId="2170EFEB" w14:textId="77777777" w:rsidR="00CD484C" w:rsidRDefault="00CD484C">
      <w:pPr>
        <w:jc w:val="both"/>
        <w:rPr>
          <w:sz w:val="18"/>
          <w:szCs w:val="16"/>
        </w:rPr>
      </w:pPr>
      <w:r>
        <w:rPr>
          <w:sz w:val="18"/>
          <w:szCs w:val="16"/>
        </w:rPr>
        <w:t>Минорский В.Ф., 78, 92, 114</w:t>
      </w:r>
    </w:p>
    <w:p w14:paraId="04B0C32C" w14:textId="77777777" w:rsidR="00CD484C" w:rsidRDefault="00CD484C">
      <w:pPr>
        <w:jc w:val="both"/>
        <w:rPr>
          <w:sz w:val="18"/>
          <w:szCs w:val="16"/>
        </w:rPr>
      </w:pPr>
      <w:r>
        <w:rPr>
          <w:sz w:val="18"/>
          <w:szCs w:val="16"/>
        </w:rPr>
        <w:t>Михалевский Ф.А., 22</w:t>
      </w:r>
    </w:p>
    <w:p w14:paraId="0C3C1653" w14:textId="77777777" w:rsidR="00CD484C" w:rsidRDefault="00CD484C">
      <w:pPr>
        <w:jc w:val="both"/>
        <w:rPr>
          <w:sz w:val="18"/>
          <w:szCs w:val="16"/>
        </w:rPr>
      </w:pPr>
      <w:r>
        <w:rPr>
          <w:sz w:val="18"/>
          <w:szCs w:val="16"/>
        </w:rPr>
        <w:t>Мишин Д.Е., 22, 39, 115–116</w:t>
      </w:r>
    </w:p>
    <w:p w14:paraId="78312F7D" w14:textId="77777777" w:rsidR="00CD484C" w:rsidRDefault="00CD484C">
      <w:pPr>
        <w:jc w:val="both"/>
        <w:rPr>
          <w:sz w:val="18"/>
          <w:szCs w:val="16"/>
        </w:rPr>
      </w:pPr>
      <w:r>
        <w:rPr>
          <w:sz w:val="18"/>
          <w:szCs w:val="16"/>
        </w:rPr>
        <w:t>Мокерова Е.Ю., 26, 41, 65, 129</w:t>
      </w:r>
    </w:p>
    <w:p w14:paraId="11F7B73D" w14:textId="77777777" w:rsidR="00CD484C" w:rsidRDefault="00CD484C">
      <w:pPr>
        <w:jc w:val="both"/>
        <w:rPr>
          <w:sz w:val="18"/>
          <w:szCs w:val="16"/>
        </w:rPr>
      </w:pPr>
      <w:r>
        <w:rPr>
          <w:sz w:val="18"/>
          <w:szCs w:val="16"/>
        </w:rPr>
        <w:t>Молчанов А.А., 93</w:t>
      </w:r>
    </w:p>
    <w:p w14:paraId="673D5721" w14:textId="77777777" w:rsidR="00CD484C" w:rsidRDefault="00CD484C">
      <w:pPr>
        <w:jc w:val="both"/>
        <w:rPr>
          <w:sz w:val="18"/>
          <w:szCs w:val="16"/>
        </w:rPr>
      </w:pPr>
      <w:r>
        <w:rPr>
          <w:sz w:val="18"/>
          <w:szCs w:val="16"/>
        </w:rPr>
        <w:t>Моця А.П., 24</w:t>
      </w:r>
    </w:p>
    <w:p w14:paraId="37448121" w14:textId="77777777" w:rsidR="00CD484C" w:rsidRDefault="00CD484C">
      <w:pPr>
        <w:jc w:val="both"/>
        <w:rPr>
          <w:sz w:val="18"/>
          <w:szCs w:val="16"/>
        </w:rPr>
      </w:pPr>
      <w:r>
        <w:rPr>
          <w:sz w:val="18"/>
          <w:szCs w:val="16"/>
        </w:rPr>
        <w:t>Мунчаев Р.М., 6, 10</w:t>
      </w:r>
    </w:p>
    <w:p w14:paraId="5A1A974B" w14:textId="77777777" w:rsidR="00CD484C" w:rsidRDefault="00CD484C">
      <w:pPr>
        <w:jc w:val="both"/>
        <w:rPr>
          <w:sz w:val="18"/>
          <w:szCs w:val="16"/>
        </w:rPr>
      </w:pPr>
      <w:r>
        <w:rPr>
          <w:sz w:val="18"/>
          <w:szCs w:val="16"/>
        </w:rPr>
        <w:t>Мухамадиев А.Г., 9, 38, 106</w:t>
      </w:r>
    </w:p>
    <w:p w14:paraId="492AFCF3" w14:textId="77777777" w:rsidR="00CD484C" w:rsidRDefault="00CD484C">
      <w:pPr>
        <w:jc w:val="both"/>
        <w:rPr>
          <w:sz w:val="18"/>
          <w:szCs w:val="16"/>
        </w:rPr>
      </w:pPr>
      <w:r>
        <w:rPr>
          <w:sz w:val="18"/>
          <w:szCs w:val="16"/>
        </w:rPr>
        <w:t>Мюллер-Вилле М., 6</w:t>
      </w:r>
    </w:p>
    <w:p w14:paraId="1136D4EA" w14:textId="77777777" w:rsidR="00CD484C" w:rsidRDefault="00CD484C">
      <w:pPr>
        <w:jc w:val="both"/>
        <w:rPr>
          <w:sz w:val="18"/>
          <w:szCs w:val="16"/>
        </w:rPr>
      </w:pPr>
      <w:r>
        <w:rPr>
          <w:sz w:val="18"/>
          <w:szCs w:val="16"/>
        </w:rPr>
        <w:t>Назаренко А.В., 21, 24, 129</w:t>
      </w:r>
    </w:p>
    <w:p w14:paraId="7F92D84A" w14:textId="77777777" w:rsidR="00CD484C" w:rsidRDefault="00CD484C">
      <w:pPr>
        <w:jc w:val="both"/>
        <w:rPr>
          <w:sz w:val="18"/>
          <w:szCs w:val="16"/>
        </w:rPr>
      </w:pPr>
      <w:r>
        <w:rPr>
          <w:sz w:val="18"/>
          <w:szCs w:val="16"/>
        </w:rPr>
        <w:t>Насонов А.Н., 24</w:t>
      </w:r>
    </w:p>
    <w:p w14:paraId="3F80936E" w14:textId="77777777" w:rsidR="00CD484C" w:rsidRDefault="00CD484C">
      <w:pPr>
        <w:jc w:val="both"/>
        <w:rPr>
          <w:sz w:val="18"/>
          <w:szCs w:val="16"/>
        </w:rPr>
      </w:pPr>
      <w:r>
        <w:rPr>
          <w:sz w:val="18"/>
          <w:szCs w:val="16"/>
        </w:rPr>
        <w:t>Низами Гянджеви, 91</w:t>
      </w:r>
    </w:p>
    <w:p w14:paraId="42A4C93D" w14:textId="77777777" w:rsidR="00CD484C" w:rsidRDefault="00CD484C">
      <w:pPr>
        <w:jc w:val="both"/>
        <w:rPr>
          <w:sz w:val="18"/>
          <w:szCs w:val="16"/>
        </w:rPr>
      </w:pPr>
      <w:r>
        <w:rPr>
          <w:sz w:val="18"/>
          <w:szCs w:val="16"/>
        </w:rPr>
        <w:t>Низов В.В., 133</w:t>
      </w:r>
    </w:p>
    <w:p w14:paraId="46C900AD" w14:textId="77777777" w:rsidR="00CD484C" w:rsidRDefault="00CD484C">
      <w:pPr>
        <w:jc w:val="both"/>
        <w:rPr>
          <w:sz w:val="18"/>
          <w:szCs w:val="16"/>
        </w:rPr>
      </w:pPr>
      <w:r>
        <w:rPr>
          <w:sz w:val="18"/>
          <w:szCs w:val="16"/>
        </w:rPr>
        <w:t xml:space="preserve">Новосельцев А.П., 10, 22, 70, 78 </w:t>
      </w:r>
    </w:p>
    <w:p w14:paraId="282BCCAF" w14:textId="276D645C" w:rsidR="00CD484C" w:rsidRDefault="00395416">
      <w:pPr>
        <w:jc w:val="both"/>
        <w:rPr>
          <w:sz w:val="18"/>
          <w:szCs w:val="16"/>
        </w:rPr>
      </w:pPr>
      <w:r>
        <w:rPr>
          <w:noProof/>
          <w:sz w:val="20"/>
          <w:szCs w:val="16"/>
        </w:rPr>
        <w:lastRenderedPageBreak/>
        <mc:AlternateContent>
          <mc:Choice Requires="wps">
            <w:drawing>
              <wp:anchor distT="0" distB="0" distL="114300" distR="114300" simplePos="0" relativeHeight="251702784" behindDoc="0" locked="0" layoutInCell="1" allowOverlap="1" wp14:anchorId="31046C0F" wp14:editId="13BF27FA">
                <wp:simplePos x="0" y="0"/>
                <wp:positionH relativeFrom="column">
                  <wp:posOffset>-228600</wp:posOffset>
                </wp:positionH>
                <wp:positionV relativeFrom="paragraph">
                  <wp:posOffset>-441325</wp:posOffset>
                </wp:positionV>
                <wp:extent cx="4914900" cy="457200"/>
                <wp:effectExtent l="0" t="0" r="2540" b="2540"/>
                <wp:wrapNone/>
                <wp:docPr id="1364072936"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EE81B" id="Rectangle 271" o:spid="_x0000_s1026" style="position:absolute;margin-left:-18pt;margin-top:-34.75pt;width:387pt;height:3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" stroked="f"/>
            </w:pict>
          </mc:Fallback>
        </mc:AlternateContent>
      </w:r>
      <w:r w:rsidR="00CD484C">
        <w:rPr>
          <w:sz w:val="18"/>
          <w:szCs w:val="16"/>
        </w:rPr>
        <w:t xml:space="preserve">Носов Е.Н., 12–13, 15, 25, 114 </w:t>
      </w:r>
    </w:p>
    <w:p w14:paraId="33581544" w14:textId="77777777" w:rsidR="00CD484C" w:rsidRDefault="00CD484C">
      <w:pPr>
        <w:jc w:val="both"/>
        <w:rPr>
          <w:sz w:val="18"/>
          <w:szCs w:val="16"/>
        </w:rPr>
      </w:pPr>
      <w:r>
        <w:rPr>
          <w:sz w:val="18"/>
          <w:szCs w:val="16"/>
        </w:rPr>
        <w:t>Нунан Т.С., 4, 15, 20, 23, 38, 41, 54, 96</w:t>
      </w:r>
    </w:p>
    <w:p w14:paraId="55349450" w14:textId="77777777" w:rsidR="00CD484C" w:rsidRDefault="00CD484C">
      <w:pPr>
        <w:jc w:val="both"/>
        <w:rPr>
          <w:sz w:val="18"/>
          <w:szCs w:val="16"/>
        </w:rPr>
      </w:pPr>
      <w:r>
        <w:rPr>
          <w:sz w:val="18"/>
          <w:szCs w:val="16"/>
        </w:rPr>
        <w:t>Пастушенко И.Ю., 126</w:t>
      </w:r>
    </w:p>
    <w:p w14:paraId="5D2AAD42" w14:textId="77777777" w:rsidR="00CD484C" w:rsidRDefault="00CD484C">
      <w:pPr>
        <w:jc w:val="both"/>
        <w:rPr>
          <w:sz w:val="18"/>
          <w:szCs w:val="16"/>
        </w:rPr>
      </w:pPr>
      <w:r>
        <w:rPr>
          <w:sz w:val="18"/>
          <w:szCs w:val="16"/>
        </w:rPr>
        <w:t xml:space="preserve">Пахомов Е.А., 18, 34, 37–38, 60, 64, 70–71, 73, 81–82, 84–87, 89–91, 93–94, 107, 111, 113, 121, 123 </w:t>
      </w:r>
    </w:p>
    <w:p w14:paraId="4945A1E8" w14:textId="77777777" w:rsidR="00CD484C" w:rsidRDefault="00CD484C">
      <w:pPr>
        <w:jc w:val="both"/>
        <w:rPr>
          <w:sz w:val="18"/>
          <w:szCs w:val="16"/>
        </w:rPr>
      </w:pPr>
      <w:r>
        <w:rPr>
          <w:sz w:val="18"/>
          <w:szCs w:val="16"/>
        </w:rPr>
        <w:t>Петров П.Н., 65</w:t>
      </w:r>
    </w:p>
    <w:p w14:paraId="0F610E76" w14:textId="77777777" w:rsidR="00CD484C" w:rsidRDefault="00CD484C">
      <w:pPr>
        <w:jc w:val="both"/>
        <w:rPr>
          <w:sz w:val="18"/>
          <w:szCs w:val="16"/>
        </w:rPr>
      </w:pPr>
      <w:r>
        <w:rPr>
          <w:sz w:val="18"/>
          <w:szCs w:val="16"/>
        </w:rPr>
        <w:t>Петрухин В.Я., 39, 70</w:t>
      </w:r>
    </w:p>
    <w:p w14:paraId="19747BCB" w14:textId="77777777" w:rsidR="00CD484C" w:rsidRDefault="00CD484C">
      <w:pPr>
        <w:jc w:val="both"/>
        <w:rPr>
          <w:sz w:val="18"/>
          <w:szCs w:val="16"/>
        </w:rPr>
      </w:pPr>
      <w:r>
        <w:rPr>
          <w:sz w:val="18"/>
          <w:szCs w:val="16"/>
        </w:rPr>
        <w:t>Пиотровский Б.Б., 21</w:t>
      </w:r>
    </w:p>
    <w:p w14:paraId="24BDD3B2" w14:textId="77777777" w:rsidR="00CD484C" w:rsidRDefault="00CD484C">
      <w:pPr>
        <w:jc w:val="both"/>
        <w:rPr>
          <w:sz w:val="18"/>
          <w:szCs w:val="16"/>
        </w:rPr>
      </w:pPr>
      <w:r>
        <w:rPr>
          <w:sz w:val="18"/>
          <w:szCs w:val="16"/>
        </w:rPr>
        <w:t>Пиотровский М.Б., 81–82</w:t>
      </w:r>
    </w:p>
    <w:p w14:paraId="216F08F1" w14:textId="77777777" w:rsidR="00CD484C" w:rsidRDefault="00CD484C">
      <w:pPr>
        <w:jc w:val="both"/>
        <w:rPr>
          <w:sz w:val="18"/>
          <w:szCs w:val="16"/>
        </w:rPr>
      </w:pPr>
      <w:r>
        <w:rPr>
          <w:sz w:val="18"/>
          <w:szCs w:val="16"/>
        </w:rPr>
        <w:t>Плетнёва С.А., 10, 66</w:t>
      </w:r>
    </w:p>
    <w:p w14:paraId="3BB6BEA6" w14:textId="77777777" w:rsidR="00CD484C" w:rsidRDefault="00CD484C">
      <w:pPr>
        <w:jc w:val="both"/>
        <w:rPr>
          <w:sz w:val="18"/>
          <w:szCs w:val="16"/>
        </w:rPr>
      </w:pPr>
      <w:r>
        <w:rPr>
          <w:sz w:val="18"/>
          <w:szCs w:val="16"/>
        </w:rPr>
        <w:t>Прицак О., 24, 38</w:t>
      </w:r>
    </w:p>
    <w:p w14:paraId="6CBCA983" w14:textId="77777777" w:rsidR="00CD484C" w:rsidRDefault="00CD484C">
      <w:pPr>
        <w:jc w:val="both"/>
        <w:rPr>
          <w:sz w:val="18"/>
          <w:szCs w:val="16"/>
        </w:rPr>
      </w:pPr>
      <w:r>
        <w:rPr>
          <w:sz w:val="18"/>
          <w:szCs w:val="16"/>
        </w:rPr>
        <w:t xml:space="preserve">Пушкина Т.А., 28–29 </w:t>
      </w:r>
    </w:p>
    <w:p w14:paraId="1CC0042C" w14:textId="77777777" w:rsidR="00CD484C" w:rsidRDefault="00CD484C">
      <w:pPr>
        <w:jc w:val="both"/>
        <w:rPr>
          <w:sz w:val="18"/>
          <w:szCs w:val="16"/>
        </w:rPr>
      </w:pPr>
      <w:r>
        <w:rPr>
          <w:sz w:val="18"/>
          <w:szCs w:val="16"/>
        </w:rPr>
        <w:t xml:space="preserve">Распопова В.И., 7, 9 </w:t>
      </w:r>
    </w:p>
    <w:p w14:paraId="0D6CCFF3" w14:textId="77777777" w:rsidR="00CD484C" w:rsidRDefault="00CD484C">
      <w:pPr>
        <w:jc w:val="both"/>
        <w:rPr>
          <w:sz w:val="18"/>
          <w:szCs w:val="16"/>
        </w:rPr>
      </w:pPr>
      <w:r>
        <w:rPr>
          <w:sz w:val="18"/>
          <w:szCs w:val="16"/>
        </w:rPr>
        <w:t>Рипслинг Г., 4</w:t>
      </w:r>
    </w:p>
    <w:p w14:paraId="22724717" w14:textId="77777777" w:rsidR="00CD484C" w:rsidRDefault="00CD484C">
      <w:pPr>
        <w:jc w:val="both"/>
        <w:rPr>
          <w:sz w:val="18"/>
          <w:szCs w:val="16"/>
        </w:rPr>
      </w:pPr>
      <w:r>
        <w:rPr>
          <w:sz w:val="18"/>
          <w:szCs w:val="16"/>
        </w:rPr>
        <w:t xml:space="preserve">Ртвеладзе Э.В., 10 </w:t>
      </w:r>
    </w:p>
    <w:p w14:paraId="151DFE79" w14:textId="77777777" w:rsidR="00CD484C" w:rsidRDefault="00CD484C">
      <w:pPr>
        <w:jc w:val="both"/>
        <w:rPr>
          <w:sz w:val="18"/>
          <w:szCs w:val="16"/>
        </w:rPr>
      </w:pPr>
      <w:r>
        <w:rPr>
          <w:sz w:val="18"/>
          <w:szCs w:val="16"/>
        </w:rPr>
        <w:t>Рыбаков Б.А., 24, 133</w:t>
      </w:r>
    </w:p>
    <w:p w14:paraId="3AB81584" w14:textId="77777777" w:rsidR="00CD484C" w:rsidRDefault="00CD484C">
      <w:pPr>
        <w:jc w:val="both"/>
        <w:rPr>
          <w:sz w:val="18"/>
          <w:szCs w:val="16"/>
        </w:rPr>
      </w:pPr>
      <w:r>
        <w:rPr>
          <w:sz w:val="18"/>
          <w:szCs w:val="16"/>
        </w:rPr>
        <w:t>Рябцевич В.Н., 23–24</w:t>
      </w:r>
    </w:p>
    <w:p w14:paraId="431E2D37" w14:textId="77777777" w:rsidR="00CD484C" w:rsidRDefault="00CD484C">
      <w:pPr>
        <w:jc w:val="both"/>
        <w:rPr>
          <w:sz w:val="18"/>
          <w:szCs w:val="16"/>
        </w:rPr>
      </w:pPr>
      <w:r>
        <w:rPr>
          <w:sz w:val="18"/>
          <w:szCs w:val="16"/>
        </w:rPr>
        <w:t xml:space="preserve">Савельева Э.А., 20, 25, 48, 66, 98, 133 </w:t>
      </w:r>
    </w:p>
    <w:p w14:paraId="77B95CA9" w14:textId="77777777" w:rsidR="00CD484C" w:rsidRDefault="00CD484C">
      <w:pPr>
        <w:jc w:val="both"/>
        <w:rPr>
          <w:sz w:val="18"/>
          <w:szCs w:val="16"/>
        </w:rPr>
      </w:pPr>
      <w:r>
        <w:rPr>
          <w:sz w:val="18"/>
          <w:szCs w:val="16"/>
        </w:rPr>
        <w:t xml:space="preserve">Сахаров А.Н., 10, 38–39, 70, 113 </w:t>
      </w:r>
    </w:p>
    <w:p w14:paraId="1D24BCC1" w14:textId="77777777" w:rsidR="00CD484C" w:rsidRDefault="00CD484C">
      <w:pPr>
        <w:jc w:val="both"/>
        <w:rPr>
          <w:sz w:val="18"/>
          <w:szCs w:val="16"/>
        </w:rPr>
      </w:pPr>
      <w:r>
        <w:rPr>
          <w:sz w:val="18"/>
          <w:szCs w:val="16"/>
        </w:rPr>
        <w:t xml:space="preserve">Седов В.В., 22, 24, 38, 61, 115 </w:t>
      </w:r>
    </w:p>
    <w:p w14:paraId="2569E73F" w14:textId="77777777" w:rsidR="00CD484C" w:rsidRDefault="00CD484C">
      <w:pPr>
        <w:jc w:val="both"/>
        <w:rPr>
          <w:sz w:val="18"/>
          <w:szCs w:val="16"/>
        </w:rPr>
      </w:pPr>
      <w:r>
        <w:rPr>
          <w:sz w:val="18"/>
          <w:szCs w:val="16"/>
        </w:rPr>
        <w:t>Седых В.Н., 61</w:t>
      </w:r>
    </w:p>
    <w:p w14:paraId="6AD91907" w14:textId="77777777" w:rsidR="00CD484C" w:rsidRDefault="00CD484C">
      <w:pPr>
        <w:jc w:val="both"/>
        <w:rPr>
          <w:sz w:val="18"/>
          <w:szCs w:val="16"/>
        </w:rPr>
      </w:pPr>
      <w:r>
        <w:rPr>
          <w:sz w:val="18"/>
          <w:szCs w:val="16"/>
        </w:rPr>
        <w:t>Сойер П. /Sojer P./, 41, 61, 64</w:t>
      </w:r>
    </w:p>
    <w:p w14:paraId="25A203C7" w14:textId="77777777" w:rsidR="00CD484C" w:rsidRDefault="00CD484C">
      <w:pPr>
        <w:jc w:val="both"/>
        <w:rPr>
          <w:sz w:val="18"/>
          <w:szCs w:val="16"/>
        </w:rPr>
      </w:pPr>
      <w:r>
        <w:rPr>
          <w:sz w:val="18"/>
          <w:szCs w:val="16"/>
        </w:rPr>
        <w:t xml:space="preserve">Спасский И.Г., 5, 23, 86 </w:t>
      </w:r>
    </w:p>
    <w:p w14:paraId="5377A1DD" w14:textId="77777777" w:rsidR="00CD484C" w:rsidRDefault="00CD484C">
      <w:pPr>
        <w:jc w:val="both"/>
        <w:rPr>
          <w:sz w:val="18"/>
          <w:szCs w:val="16"/>
        </w:rPr>
      </w:pPr>
      <w:r>
        <w:rPr>
          <w:sz w:val="18"/>
          <w:szCs w:val="16"/>
        </w:rPr>
        <w:t xml:space="preserve">Спицын А.А., 37, 106, 126, 129 </w:t>
      </w:r>
    </w:p>
    <w:p w14:paraId="2F897A72" w14:textId="77777777" w:rsidR="00CD484C" w:rsidRDefault="00CD484C">
      <w:pPr>
        <w:jc w:val="both"/>
        <w:rPr>
          <w:sz w:val="18"/>
          <w:szCs w:val="16"/>
        </w:rPr>
      </w:pPr>
      <w:r>
        <w:rPr>
          <w:sz w:val="18"/>
          <w:szCs w:val="16"/>
        </w:rPr>
        <w:t xml:space="preserve">Ставиский Б.Я., 7 </w:t>
      </w:r>
    </w:p>
    <w:p w14:paraId="482B351D" w14:textId="77777777" w:rsidR="00CD484C" w:rsidRDefault="00CD484C">
      <w:pPr>
        <w:jc w:val="both"/>
        <w:rPr>
          <w:sz w:val="18"/>
          <w:szCs w:val="16"/>
        </w:rPr>
      </w:pPr>
      <w:r>
        <w:rPr>
          <w:sz w:val="18"/>
          <w:szCs w:val="16"/>
        </w:rPr>
        <w:t xml:space="preserve">Стальсберг А., 12, 25 </w:t>
      </w:r>
    </w:p>
    <w:p w14:paraId="3CA1813D" w14:textId="77777777" w:rsidR="00CD484C" w:rsidRDefault="00CD484C">
      <w:pPr>
        <w:jc w:val="both"/>
        <w:rPr>
          <w:sz w:val="18"/>
          <w:szCs w:val="16"/>
        </w:rPr>
      </w:pPr>
      <w:r>
        <w:rPr>
          <w:sz w:val="18"/>
          <w:szCs w:val="16"/>
        </w:rPr>
        <w:t>Талицкий М.В., 125</w:t>
      </w:r>
    </w:p>
    <w:p w14:paraId="1AE7C3A0" w14:textId="77777777" w:rsidR="00CD484C" w:rsidRDefault="00CD484C">
      <w:pPr>
        <w:jc w:val="both"/>
        <w:rPr>
          <w:sz w:val="18"/>
          <w:szCs w:val="16"/>
        </w:rPr>
      </w:pPr>
      <w:r>
        <w:rPr>
          <w:sz w:val="18"/>
          <w:szCs w:val="16"/>
        </w:rPr>
        <w:t xml:space="preserve">Толочко П.П., 24 </w:t>
      </w:r>
    </w:p>
    <w:p w14:paraId="48488905" w14:textId="77777777" w:rsidR="00CD484C" w:rsidRDefault="00CD484C">
      <w:pPr>
        <w:jc w:val="both"/>
        <w:rPr>
          <w:sz w:val="18"/>
          <w:szCs w:val="16"/>
        </w:rPr>
      </w:pPr>
      <w:r>
        <w:rPr>
          <w:sz w:val="18"/>
          <w:szCs w:val="16"/>
        </w:rPr>
        <w:t xml:space="preserve">Фасмер Р.Р., 4–6, 10–11, 14–15, 22, 27–28, 30, 34, 40–41, 44, 67, 69, 92, 98, 100, 103–104, 111, 120, 123 </w:t>
      </w:r>
    </w:p>
    <w:p w14:paraId="21BD71FD" w14:textId="77777777" w:rsidR="00CD484C" w:rsidRDefault="00CD484C">
      <w:pPr>
        <w:jc w:val="both"/>
        <w:rPr>
          <w:sz w:val="18"/>
          <w:szCs w:val="16"/>
        </w:rPr>
      </w:pPr>
      <w:r>
        <w:rPr>
          <w:sz w:val="18"/>
          <w:szCs w:val="16"/>
        </w:rPr>
        <w:t>Фахрутдинов Р.Г., 115</w:t>
      </w:r>
    </w:p>
    <w:p w14:paraId="7BCAC355" w14:textId="77777777" w:rsidR="00CD484C" w:rsidRDefault="00CD484C">
      <w:pPr>
        <w:jc w:val="both"/>
        <w:rPr>
          <w:sz w:val="18"/>
          <w:szCs w:val="16"/>
        </w:rPr>
      </w:pPr>
      <w:r>
        <w:rPr>
          <w:sz w:val="18"/>
          <w:szCs w:val="16"/>
        </w:rPr>
        <w:t xml:space="preserve">Фёдоров-Давыдов Г.А., 4, 22, 30, 32, 35, 48, 67, 95, 106 </w:t>
      </w:r>
    </w:p>
    <w:p w14:paraId="2CB49E93" w14:textId="77777777" w:rsidR="00CD484C" w:rsidRDefault="00CD484C">
      <w:pPr>
        <w:jc w:val="both"/>
        <w:rPr>
          <w:sz w:val="18"/>
          <w:szCs w:val="16"/>
        </w:rPr>
      </w:pPr>
      <w:r>
        <w:rPr>
          <w:sz w:val="18"/>
          <w:szCs w:val="16"/>
        </w:rPr>
        <w:t xml:space="preserve">Фёдорова Н.В., 9, 11 </w:t>
      </w:r>
    </w:p>
    <w:p w14:paraId="28342946" w14:textId="77777777" w:rsidR="00CD484C" w:rsidRDefault="00CD484C">
      <w:pPr>
        <w:jc w:val="both"/>
        <w:rPr>
          <w:sz w:val="18"/>
          <w:szCs w:val="16"/>
        </w:rPr>
      </w:pPr>
      <w:r>
        <w:rPr>
          <w:sz w:val="18"/>
          <w:szCs w:val="16"/>
        </w:rPr>
        <w:t xml:space="preserve">Фехнер М.В., 116 </w:t>
      </w:r>
    </w:p>
    <w:p w14:paraId="74201AEC" w14:textId="77777777" w:rsidR="00CD484C" w:rsidRDefault="00CD484C">
      <w:pPr>
        <w:jc w:val="both"/>
        <w:rPr>
          <w:sz w:val="18"/>
          <w:szCs w:val="16"/>
        </w:rPr>
      </w:pPr>
      <w:r>
        <w:rPr>
          <w:sz w:val="18"/>
          <w:szCs w:val="16"/>
        </w:rPr>
        <w:t xml:space="preserve">Фомин А.В., 4, 6, 11, 13, 15, 18–21, 23, 27–29, 33, 37, 39, 41, 43, 48–49, 54, 67, 69–70, 72–73, 85, 87, 97, 105, 109, 111–112, 120, 130 </w:t>
      </w:r>
    </w:p>
    <w:p w14:paraId="0EB5CE4B" w14:textId="77777777" w:rsidR="00CD484C" w:rsidRDefault="00CD484C">
      <w:pPr>
        <w:jc w:val="both"/>
        <w:rPr>
          <w:sz w:val="18"/>
          <w:szCs w:val="16"/>
        </w:rPr>
      </w:pPr>
      <w:r>
        <w:rPr>
          <w:sz w:val="18"/>
          <w:szCs w:val="16"/>
        </w:rPr>
        <w:t xml:space="preserve">Фрай Р., 85, 88 </w:t>
      </w:r>
    </w:p>
    <w:p w14:paraId="6FB7BEC7" w14:textId="77777777" w:rsidR="00CD484C" w:rsidRDefault="00CD484C">
      <w:pPr>
        <w:jc w:val="both"/>
        <w:rPr>
          <w:sz w:val="18"/>
          <w:szCs w:val="16"/>
        </w:rPr>
      </w:pPr>
      <w:r>
        <w:rPr>
          <w:sz w:val="18"/>
          <w:szCs w:val="16"/>
        </w:rPr>
        <w:t>Хайек Ф.А., 19</w:t>
      </w:r>
    </w:p>
    <w:p w14:paraId="771EC696" w14:textId="77777777" w:rsidR="00CD484C" w:rsidRDefault="00CD484C">
      <w:pPr>
        <w:jc w:val="both"/>
        <w:rPr>
          <w:sz w:val="18"/>
          <w:szCs w:val="16"/>
        </w:rPr>
      </w:pPr>
      <w:r>
        <w:rPr>
          <w:sz w:val="18"/>
          <w:szCs w:val="16"/>
        </w:rPr>
        <w:t>Халиков А.Х., 24</w:t>
      </w:r>
    </w:p>
    <w:p w14:paraId="72B550B7" w14:textId="77777777" w:rsidR="00CD484C" w:rsidRDefault="00CD484C">
      <w:pPr>
        <w:jc w:val="both"/>
        <w:rPr>
          <w:sz w:val="18"/>
          <w:szCs w:val="16"/>
        </w:rPr>
      </w:pPr>
      <w:r>
        <w:rPr>
          <w:sz w:val="18"/>
          <w:szCs w:val="16"/>
        </w:rPr>
        <w:t xml:space="preserve">Хан Н.А., 8–9, 25, 31–32, 48, 66, 70, 90, 98, 111 </w:t>
      </w:r>
    </w:p>
    <w:p w14:paraId="30E66FCC" w14:textId="77777777" w:rsidR="00CD484C" w:rsidRDefault="00CD484C">
      <w:pPr>
        <w:jc w:val="both"/>
        <w:rPr>
          <w:sz w:val="18"/>
          <w:szCs w:val="16"/>
        </w:rPr>
      </w:pPr>
      <w:r>
        <w:rPr>
          <w:sz w:val="18"/>
          <w:szCs w:val="16"/>
        </w:rPr>
        <w:t xml:space="preserve">Харитонов Д.Е., 11 </w:t>
      </w:r>
    </w:p>
    <w:p w14:paraId="135BAD91" w14:textId="77777777" w:rsidR="00CD484C" w:rsidRDefault="00CD484C">
      <w:pPr>
        <w:jc w:val="both"/>
        <w:rPr>
          <w:sz w:val="18"/>
          <w:szCs w:val="16"/>
        </w:rPr>
      </w:pPr>
      <w:r>
        <w:rPr>
          <w:sz w:val="18"/>
          <w:szCs w:val="16"/>
        </w:rPr>
        <w:t>Хвощинская Н.В., 127</w:t>
      </w:r>
    </w:p>
    <w:p w14:paraId="3F1E5FF4" w14:textId="77777777" w:rsidR="00CD484C" w:rsidRDefault="00CD484C">
      <w:pPr>
        <w:jc w:val="both"/>
        <w:rPr>
          <w:sz w:val="18"/>
          <w:szCs w:val="16"/>
        </w:rPr>
      </w:pPr>
      <w:r>
        <w:rPr>
          <w:sz w:val="18"/>
          <w:szCs w:val="16"/>
        </w:rPr>
        <w:t xml:space="preserve">Хинц В., 21 </w:t>
      </w:r>
    </w:p>
    <w:p w14:paraId="0B53EA09" w14:textId="77777777" w:rsidR="00CD484C" w:rsidRDefault="00CD484C">
      <w:pPr>
        <w:jc w:val="both"/>
        <w:rPr>
          <w:sz w:val="18"/>
          <w:szCs w:val="16"/>
        </w:rPr>
      </w:pPr>
      <w:r>
        <w:rPr>
          <w:sz w:val="18"/>
          <w:szCs w:val="16"/>
        </w:rPr>
        <w:t>Хузин Ф.П., 24</w:t>
      </w:r>
    </w:p>
    <w:p w14:paraId="2D461F4E" w14:textId="77777777" w:rsidR="00CD484C" w:rsidRDefault="00CD484C">
      <w:pPr>
        <w:jc w:val="both"/>
        <w:rPr>
          <w:sz w:val="18"/>
          <w:szCs w:val="16"/>
        </w:rPr>
      </w:pPr>
      <w:r>
        <w:rPr>
          <w:sz w:val="18"/>
          <w:szCs w:val="16"/>
        </w:rPr>
        <w:t>Шпулер Б., см. Spuler B., 89</w:t>
      </w:r>
    </w:p>
    <w:p w14:paraId="762BCA79" w14:textId="77777777" w:rsidR="00CD484C" w:rsidRDefault="00CD484C">
      <w:pPr>
        <w:jc w:val="both"/>
        <w:rPr>
          <w:sz w:val="18"/>
          <w:szCs w:val="16"/>
        </w:rPr>
      </w:pPr>
      <w:r>
        <w:rPr>
          <w:sz w:val="18"/>
          <w:szCs w:val="16"/>
        </w:rPr>
        <w:t>Юсупов X., 67, 108</w:t>
      </w:r>
    </w:p>
    <w:p w14:paraId="09038DAE" w14:textId="77777777" w:rsidR="00CD484C" w:rsidRDefault="00CD484C">
      <w:pPr>
        <w:jc w:val="both"/>
        <w:rPr>
          <w:sz w:val="18"/>
          <w:szCs w:val="16"/>
        </w:rPr>
      </w:pPr>
      <w:r>
        <w:rPr>
          <w:sz w:val="18"/>
          <w:szCs w:val="16"/>
        </w:rPr>
        <w:t>Якубовский А.Ю., 70, 114</w:t>
      </w:r>
    </w:p>
    <w:p w14:paraId="685EFA4A" w14:textId="77777777" w:rsidR="00CD484C" w:rsidRDefault="00CD484C">
      <w:pPr>
        <w:jc w:val="both"/>
        <w:rPr>
          <w:sz w:val="18"/>
          <w:szCs w:val="16"/>
        </w:rPr>
      </w:pPr>
      <w:r>
        <w:rPr>
          <w:sz w:val="18"/>
          <w:szCs w:val="16"/>
        </w:rPr>
        <w:t xml:space="preserve">Янин В.Л., 4, 9, 11, 13–17, 19–22, 24, 27–29, 31, 34, 40–41, 43–46, 49–50, 68–69, 71, 73–74, 76, 84–85, 92, 94–95, 97–98, 100, 103, 105, 107, 109, 112, 116, 119–121, 123, 128 </w:t>
      </w:r>
    </w:p>
    <w:p w14:paraId="1EB4DDEC" w14:textId="77777777" w:rsidR="00CD484C" w:rsidRDefault="00CD484C">
      <w:pPr>
        <w:jc w:val="both"/>
        <w:rPr>
          <w:sz w:val="18"/>
          <w:szCs w:val="16"/>
        </w:rPr>
      </w:pPr>
      <w:r>
        <w:rPr>
          <w:sz w:val="18"/>
          <w:szCs w:val="16"/>
        </w:rPr>
        <w:t xml:space="preserve">Янина С.А., 6, 10, 28, 33, 38, 69, 90, 106, 112 </w:t>
      </w:r>
    </w:p>
    <w:p w14:paraId="1BB275F0" w14:textId="77777777" w:rsidR="00CD484C" w:rsidRDefault="00CD484C">
      <w:pPr>
        <w:jc w:val="both"/>
        <w:rPr>
          <w:sz w:val="18"/>
          <w:szCs w:val="16"/>
        </w:rPr>
      </w:pPr>
      <w:r>
        <w:rPr>
          <w:sz w:val="18"/>
          <w:szCs w:val="16"/>
        </w:rPr>
        <w:t xml:space="preserve">Arne T.J., 13 </w:t>
      </w:r>
    </w:p>
    <w:p w14:paraId="28632B71" w14:textId="77777777" w:rsidR="00CD484C" w:rsidRDefault="00CD484C">
      <w:pPr>
        <w:jc w:val="both"/>
        <w:rPr>
          <w:sz w:val="18"/>
          <w:szCs w:val="16"/>
        </w:rPr>
      </w:pPr>
      <w:r>
        <w:rPr>
          <w:sz w:val="18"/>
          <w:szCs w:val="16"/>
        </w:rPr>
        <w:t>Bolin S.,  см. Болин С., 41, 64</w:t>
      </w:r>
    </w:p>
    <w:p w14:paraId="7F864AD0" w14:textId="77777777" w:rsidR="00CD484C" w:rsidRDefault="00CD484C">
      <w:pPr>
        <w:jc w:val="both"/>
        <w:rPr>
          <w:sz w:val="18"/>
          <w:szCs w:val="16"/>
        </w:rPr>
      </w:pPr>
      <w:r>
        <w:rPr>
          <w:sz w:val="18"/>
          <w:szCs w:val="16"/>
        </w:rPr>
        <w:t xml:space="preserve">Callmer J., 13 </w:t>
      </w:r>
    </w:p>
    <w:p w14:paraId="5DF119AD" w14:textId="77777777" w:rsidR="00CD484C" w:rsidRDefault="00CD484C">
      <w:pPr>
        <w:jc w:val="both"/>
        <w:rPr>
          <w:sz w:val="18"/>
          <w:szCs w:val="16"/>
        </w:rPr>
      </w:pPr>
      <w:r>
        <w:rPr>
          <w:sz w:val="18"/>
          <w:szCs w:val="16"/>
        </w:rPr>
        <w:t>Franklin S., 12–13, 15, 22–24, 38–39, 41, 83, 113</w:t>
      </w:r>
    </w:p>
    <w:p w14:paraId="0572F577" w14:textId="77777777" w:rsidR="00CD484C" w:rsidRDefault="00CD484C">
      <w:pPr>
        <w:jc w:val="both"/>
        <w:rPr>
          <w:sz w:val="18"/>
          <w:szCs w:val="16"/>
        </w:rPr>
      </w:pPr>
      <w:r>
        <w:rPr>
          <w:sz w:val="18"/>
          <w:szCs w:val="16"/>
        </w:rPr>
        <w:t xml:space="preserve">Frye R., см., Фрай Р., 85, 88 </w:t>
      </w:r>
    </w:p>
    <w:p w14:paraId="263F9420" w14:textId="77777777" w:rsidR="00CD484C" w:rsidRDefault="00CD484C">
      <w:pPr>
        <w:jc w:val="both"/>
        <w:rPr>
          <w:sz w:val="18"/>
          <w:szCs w:val="16"/>
        </w:rPr>
      </w:pPr>
      <w:r>
        <w:rPr>
          <w:sz w:val="18"/>
          <w:szCs w:val="16"/>
        </w:rPr>
        <w:t>Goldina R.D., см. Голдина Р.Д., 11</w:t>
      </w:r>
    </w:p>
    <w:p w14:paraId="70224472" w14:textId="77777777" w:rsidR="00CD484C" w:rsidRDefault="00CD484C">
      <w:pPr>
        <w:jc w:val="both"/>
        <w:rPr>
          <w:sz w:val="18"/>
          <w:szCs w:val="16"/>
        </w:rPr>
      </w:pPr>
      <w:r>
        <w:rPr>
          <w:sz w:val="18"/>
          <w:szCs w:val="16"/>
        </w:rPr>
        <w:t>Hinz W.,  см. Хинц В., 21</w:t>
      </w:r>
    </w:p>
    <w:p w14:paraId="6DA8CBC9" w14:textId="77777777" w:rsidR="00CD484C" w:rsidRDefault="00CD484C">
      <w:pPr>
        <w:jc w:val="both"/>
        <w:rPr>
          <w:sz w:val="18"/>
          <w:szCs w:val="16"/>
        </w:rPr>
      </w:pPr>
      <w:r>
        <w:rPr>
          <w:sz w:val="18"/>
          <w:szCs w:val="16"/>
        </w:rPr>
        <w:t>Jakson T.N., см. Джаксон Т.Н., 25</w:t>
      </w:r>
    </w:p>
    <w:p w14:paraId="7F9EE051" w14:textId="77777777" w:rsidR="00CD484C" w:rsidRDefault="00CD484C">
      <w:pPr>
        <w:jc w:val="both"/>
        <w:rPr>
          <w:sz w:val="18"/>
          <w:szCs w:val="16"/>
        </w:rPr>
      </w:pPr>
      <w:r>
        <w:rPr>
          <w:sz w:val="18"/>
          <w:szCs w:val="16"/>
        </w:rPr>
        <w:t>Khan N.A., см. Хан Н.А., 14</w:t>
      </w:r>
    </w:p>
    <w:p w14:paraId="0D107ED6" w14:textId="77777777" w:rsidR="00CD484C" w:rsidRDefault="00CD484C">
      <w:pPr>
        <w:jc w:val="both"/>
        <w:rPr>
          <w:sz w:val="18"/>
          <w:szCs w:val="16"/>
        </w:rPr>
      </w:pPr>
      <w:r>
        <w:rPr>
          <w:sz w:val="18"/>
          <w:szCs w:val="16"/>
        </w:rPr>
        <w:t>Kovalev R.K., см. Ковалёв Р.К., 62</w:t>
      </w:r>
    </w:p>
    <w:p w14:paraId="4CDE9183" w14:textId="77777777" w:rsidR="00CD484C" w:rsidRDefault="00CD484C">
      <w:pPr>
        <w:jc w:val="both"/>
        <w:rPr>
          <w:sz w:val="18"/>
          <w:szCs w:val="16"/>
        </w:rPr>
      </w:pPr>
      <w:r>
        <w:rPr>
          <w:sz w:val="18"/>
          <w:szCs w:val="16"/>
        </w:rPr>
        <w:t xml:space="preserve">Le Strange G., 117 </w:t>
      </w:r>
    </w:p>
    <w:p w14:paraId="11812A28" w14:textId="77777777" w:rsidR="00CD484C" w:rsidRDefault="00CD484C">
      <w:pPr>
        <w:jc w:val="both"/>
        <w:rPr>
          <w:sz w:val="18"/>
          <w:szCs w:val="16"/>
        </w:rPr>
      </w:pPr>
      <w:r>
        <w:rPr>
          <w:sz w:val="18"/>
          <w:szCs w:val="16"/>
        </w:rPr>
        <w:t>Mez A., см. Мец А., 140</w:t>
      </w:r>
    </w:p>
    <w:p w14:paraId="233AF2A9" w14:textId="77777777" w:rsidR="00CD484C" w:rsidRDefault="00CD484C">
      <w:pPr>
        <w:pStyle w:val="a4"/>
        <w:overflowPunct/>
        <w:autoSpaceDE/>
        <w:autoSpaceDN/>
        <w:adjustRightInd/>
        <w:textAlignment w:val="auto"/>
        <w:rPr>
          <w:spacing w:val="-6"/>
          <w:sz w:val="18"/>
          <w:szCs w:val="16"/>
          <w:lang w:val="ru-RU"/>
        </w:rPr>
      </w:pPr>
      <w:r>
        <w:rPr>
          <w:spacing w:val="-6"/>
          <w:sz w:val="18"/>
          <w:szCs w:val="16"/>
          <w:lang w:val="ru-RU"/>
        </w:rPr>
        <w:t>Muller-Wille M., cм., Мюллер-Вилле М., 6</w:t>
      </w:r>
    </w:p>
    <w:p w14:paraId="277C04BA" w14:textId="77777777" w:rsidR="00CD484C" w:rsidRDefault="00CD484C">
      <w:pPr>
        <w:jc w:val="both"/>
        <w:rPr>
          <w:sz w:val="18"/>
          <w:szCs w:val="16"/>
        </w:rPr>
      </w:pPr>
      <w:r>
        <w:rPr>
          <w:sz w:val="18"/>
          <w:szCs w:val="16"/>
        </w:rPr>
        <w:t>Nikitin A.B., cм. Никитин А.Б., 11</w:t>
      </w:r>
    </w:p>
    <w:p w14:paraId="5BCE2A69" w14:textId="77777777" w:rsidR="00CD484C" w:rsidRDefault="00CD484C">
      <w:pPr>
        <w:jc w:val="both"/>
        <w:rPr>
          <w:sz w:val="18"/>
          <w:szCs w:val="16"/>
        </w:rPr>
      </w:pPr>
      <w:r>
        <w:rPr>
          <w:sz w:val="18"/>
          <w:szCs w:val="16"/>
        </w:rPr>
        <w:t>Noonan Th. S., см. Нунан Т.С., 4, 11, 20, 38, 41, 54, 71, 96</w:t>
      </w:r>
    </w:p>
    <w:p w14:paraId="0F3DEBFE" w14:textId="77777777" w:rsidR="00CD484C" w:rsidRDefault="00CD484C">
      <w:pPr>
        <w:jc w:val="both"/>
        <w:rPr>
          <w:sz w:val="18"/>
          <w:szCs w:val="16"/>
        </w:rPr>
      </w:pPr>
      <w:r>
        <w:rPr>
          <w:sz w:val="18"/>
          <w:szCs w:val="16"/>
        </w:rPr>
        <w:t>Nosov E.N., см. Носов Е.Н., 12</w:t>
      </w:r>
    </w:p>
    <w:p w14:paraId="55932DB0" w14:textId="77777777" w:rsidR="00CD484C" w:rsidRDefault="00CD484C">
      <w:pPr>
        <w:jc w:val="both"/>
        <w:rPr>
          <w:sz w:val="18"/>
          <w:szCs w:val="16"/>
        </w:rPr>
      </w:pPr>
      <w:r>
        <w:rPr>
          <w:sz w:val="18"/>
          <w:szCs w:val="16"/>
        </w:rPr>
        <w:t>Shepard J., 12–13, 15, 22–24, 38–39, 41, 83, 113</w:t>
      </w:r>
    </w:p>
    <w:p w14:paraId="0A4C9E8B" w14:textId="77777777" w:rsidR="00CD484C" w:rsidRDefault="00CD484C">
      <w:pPr>
        <w:jc w:val="both"/>
        <w:rPr>
          <w:sz w:val="18"/>
          <w:szCs w:val="16"/>
        </w:rPr>
      </w:pPr>
      <w:r>
        <w:rPr>
          <w:sz w:val="18"/>
          <w:szCs w:val="16"/>
        </w:rPr>
        <w:t>Sojer P., cм. Сойер П., 41</w:t>
      </w:r>
    </w:p>
    <w:p w14:paraId="386AF9A9" w14:textId="77777777" w:rsidR="00CD484C" w:rsidRDefault="00CD484C">
      <w:pPr>
        <w:jc w:val="both"/>
        <w:rPr>
          <w:sz w:val="18"/>
          <w:szCs w:val="16"/>
        </w:rPr>
      </w:pPr>
      <w:r>
        <w:rPr>
          <w:sz w:val="18"/>
          <w:szCs w:val="16"/>
        </w:rPr>
        <w:t xml:space="preserve">Stenberger M., 13 </w:t>
      </w:r>
    </w:p>
    <w:p w14:paraId="7AF8A6F3" w14:textId="77777777" w:rsidR="00CD484C" w:rsidRDefault="00CD484C">
      <w:pPr>
        <w:jc w:val="both"/>
        <w:rPr>
          <w:sz w:val="18"/>
          <w:szCs w:val="16"/>
        </w:rPr>
      </w:pPr>
      <w:r>
        <w:rPr>
          <w:sz w:val="18"/>
          <w:szCs w:val="16"/>
        </w:rPr>
        <w:t>Spuler B., 84, 89, 90</w:t>
      </w:r>
    </w:p>
    <w:p w14:paraId="3029C153" w14:textId="77777777" w:rsidR="00CD484C" w:rsidRDefault="00CD484C">
      <w:pPr>
        <w:jc w:val="both"/>
        <w:rPr>
          <w:sz w:val="18"/>
          <w:szCs w:val="16"/>
        </w:rPr>
      </w:pPr>
      <w:r>
        <w:rPr>
          <w:sz w:val="18"/>
          <w:szCs w:val="16"/>
        </w:rPr>
        <w:t>Verma H.C., 22, 83</w:t>
      </w:r>
    </w:p>
    <w:p w14:paraId="4CEA492B" w14:textId="77777777" w:rsidR="00CD484C" w:rsidRDefault="00CD484C">
      <w:pPr>
        <w:jc w:val="both"/>
        <w:rPr>
          <w:sz w:val="18"/>
          <w:szCs w:val="16"/>
        </w:rPr>
      </w:pPr>
      <w:r>
        <w:rPr>
          <w:sz w:val="18"/>
          <w:szCs w:val="16"/>
        </w:rPr>
        <w:t xml:space="preserve">Zambaur E., 33, 81, 123 </w:t>
      </w:r>
    </w:p>
    <w:p w14:paraId="5305E36B" w14:textId="77777777" w:rsidR="00CD484C" w:rsidRDefault="00CD484C">
      <w:pPr>
        <w:jc w:val="both"/>
        <w:rPr>
          <w:sz w:val="20"/>
          <w:szCs w:val="16"/>
        </w:rPr>
      </w:pPr>
    </w:p>
    <w:p w14:paraId="23F24FD2" w14:textId="77777777" w:rsidR="00CD484C" w:rsidRDefault="00CD484C">
      <w:pPr>
        <w:ind w:firstLine="397"/>
        <w:jc w:val="both"/>
        <w:rPr>
          <w:sz w:val="20"/>
          <w:szCs w:val="16"/>
        </w:rPr>
        <w:sectPr w:rsidR="00CD484C" w:rsidSect="00575D8E">
          <w:type w:val="continuous"/>
          <w:pgSz w:w="8392" w:h="11907" w:code="11"/>
          <w:pgMar w:top="567" w:right="1134" w:bottom="567" w:left="851" w:header="709" w:footer="709" w:gutter="0"/>
          <w:cols w:num="2" w:space="284"/>
          <w:docGrid w:linePitch="360"/>
        </w:sectPr>
      </w:pPr>
    </w:p>
    <w:p w14:paraId="21ECFDDD" w14:textId="77777777" w:rsidR="00CD484C" w:rsidRDefault="00CD484C">
      <w:pPr>
        <w:ind w:firstLine="397"/>
        <w:jc w:val="both"/>
        <w:rPr>
          <w:sz w:val="20"/>
          <w:szCs w:val="16"/>
        </w:rPr>
      </w:pPr>
    </w:p>
    <w:p w14:paraId="1BD3C135" w14:textId="77777777" w:rsidR="00CD484C" w:rsidRDefault="00CD484C">
      <w:pPr>
        <w:ind w:firstLine="397"/>
        <w:jc w:val="both"/>
        <w:rPr>
          <w:sz w:val="20"/>
          <w:szCs w:val="16"/>
        </w:rPr>
      </w:pPr>
    </w:p>
    <w:p w14:paraId="25A7D164" w14:textId="77777777" w:rsidR="00CD484C" w:rsidRDefault="00CD484C">
      <w:pPr>
        <w:ind w:firstLine="397"/>
        <w:jc w:val="both"/>
        <w:rPr>
          <w:sz w:val="20"/>
          <w:szCs w:val="16"/>
        </w:rPr>
      </w:pPr>
    </w:p>
    <w:p w14:paraId="3218B994" w14:textId="77777777" w:rsidR="00CD484C" w:rsidRDefault="00CD484C">
      <w:pPr>
        <w:ind w:firstLine="397"/>
        <w:jc w:val="both"/>
        <w:rPr>
          <w:sz w:val="20"/>
          <w:szCs w:val="16"/>
        </w:rPr>
        <w:sectPr w:rsidR="00CD484C" w:rsidSect="00575D8E">
          <w:type w:val="continuous"/>
          <w:pgSz w:w="8392" w:h="11907" w:code="11"/>
          <w:pgMar w:top="567" w:right="1134" w:bottom="567" w:left="851" w:header="709" w:footer="709" w:gutter="0"/>
          <w:cols w:num="2" w:space="709"/>
          <w:docGrid w:linePitch="360"/>
        </w:sectPr>
      </w:pPr>
    </w:p>
    <w:p w14:paraId="79942AD8" w14:textId="77777777" w:rsidR="00CD484C" w:rsidRDefault="00CD484C">
      <w:pPr>
        <w:ind w:firstLine="397"/>
        <w:jc w:val="both"/>
        <w:rPr>
          <w:sz w:val="20"/>
          <w:szCs w:val="16"/>
        </w:rPr>
      </w:pPr>
    </w:p>
    <w:p w14:paraId="443C96A1" w14:textId="77777777" w:rsidR="00CD484C" w:rsidRDefault="00CD484C">
      <w:pPr>
        <w:pStyle w:val="a3"/>
      </w:pPr>
      <w:r>
        <w:lastRenderedPageBreak/>
        <w:t>Список сокращений</w:t>
      </w:r>
    </w:p>
    <w:p w14:paraId="636B898F" w14:textId="77777777" w:rsidR="00CD484C" w:rsidRDefault="00CD484C">
      <w:pPr>
        <w:jc w:val="both"/>
        <w:rPr>
          <w:sz w:val="20"/>
          <w:szCs w:val="16"/>
        </w:rPr>
      </w:pPr>
      <w:r>
        <w:rPr>
          <w:sz w:val="20"/>
          <w:szCs w:val="16"/>
        </w:rPr>
        <w:t>АВ     – Археологические вести. СПб.</w:t>
      </w:r>
    </w:p>
    <w:p w14:paraId="2F892272" w14:textId="77777777" w:rsidR="00CD484C" w:rsidRDefault="00CD484C">
      <w:pPr>
        <w:jc w:val="both"/>
        <w:rPr>
          <w:sz w:val="20"/>
          <w:szCs w:val="16"/>
        </w:rPr>
      </w:pPr>
      <w:r>
        <w:rPr>
          <w:sz w:val="20"/>
          <w:szCs w:val="16"/>
        </w:rPr>
        <w:t xml:space="preserve">ВАУ  – Вопросы археологии Урала. Свердловск. </w:t>
      </w:r>
    </w:p>
    <w:p w14:paraId="3AFB2DAE" w14:textId="77777777" w:rsidR="00CD484C" w:rsidRDefault="00CD484C">
      <w:pPr>
        <w:tabs>
          <w:tab w:val="left" w:pos="567"/>
          <w:tab w:val="left" w:pos="2268"/>
          <w:tab w:val="left" w:pos="2694"/>
        </w:tabs>
        <w:jc w:val="both"/>
        <w:rPr>
          <w:sz w:val="20"/>
          <w:szCs w:val="16"/>
        </w:rPr>
      </w:pPr>
      <w:r>
        <w:rPr>
          <w:sz w:val="20"/>
          <w:szCs w:val="16"/>
        </w:rPr>
        <w:t>ВИД  – Вспомогательные исторические дисциплины. Л.</w:t>
      </w:r>
    </w:p>
    <w:p w14:paraId="511443E0" w14:textId="77777777" w:rsidR="00CD484C" w:rsidRDefault="00CD484C">
      <w:pPr>
        <w:tabs>
          <w:tab w:val="left" w:pos="567"/>
          <w:tab w:val="left" w:pos="2268"/>
          <w:tab w:val="left" w:pos="2694"/>
        </w:tabs>
        <w:jc w:val="both"/>
        <w:rPr>
          <w:sz w:val="20"/>
          <w:szCs w:val="16"/>
        </w:rPr>
      </w:pPr>
      <w:r>
        <w:rPr>
          <w:sz w:val="20"/>
          <w:szCs w:val="16"/>
        </w:rPr>
        <w:t>ВЛ     – Восточная литература. М.</w:t>
      </w:r>
    </w:p>
    <w:p w14:paraId="117CD626" w14:textId="77777777" w:rsidR="00CD484C" w:rsidRDefault="00CD484C">
      <w:pPr>
        <w:jc w:val="both"/>
        <w:rPr>
          <w:sz w:val="20"/>
          <w:szCs w:val="16"/>
        </w:rPr>
      </w:pPr>
      <w:r>
        <w:rPr>
          <w:sz w:val="20"/>
          <w:szCs w:val="16"/>
        </w:rPr>
        <w:t>ВНК  – Всероссийская нумизматическая конференция.</w:t>
      </w:r>
    </w:p>
    <w:p w14:paraId="7D302740" w14:textId="77777777" w:rsidR="00CD484C" w:rsidRDefault="00CD484C">
      <w:pPr>
        <w:jc w:val="both"/>
        <w:rPr>
          <w:sz w:val="20"/>
          <w:szCs w:val="16"/>
        </w:rPr>
      </w:pPr>
      <w:r>
        <w:rPr>
          <w:sz w:val="20"/>
          <w:szCs w:val="16"/>
        </w:rPr>
        <w:t>ГАИМК – Государственная Академия истории материальной культуры.</w:t>
      </w:r>
    </w:p>
    <w:p w14:paraId="3B5EABF9" w14:textId="77777777" w:rsidR="00CD484C" w:rsidRDefault="00CD484C">
      <w:pPr>
        <w:jc w:val="both"/>
        <w:rPr>
          <w:sz w:val="20"/>
          <w:szCs w:val="16"/>
        </w:rPr>
      </w:pPr>
      <w:r>
        <w:rPr>
          <w:sz w:val="20"/>
          <w:szCs w:val="16"/>
        </w:rPr>
        <w:t>ГИМ  – Государственный Исторический музей. Москва.</w:t>
      </w:r>
    </w:p>
    <w:p w14:paraId="39F854B0" w14:textId="77777777" w:rsidR="00CD484C" w:rsidRDefault="00CD484C">
      <w:pPr>
        <w:jc w:val="both"/>
        <w:rPr>
          <w:sz w:val="20"/>
          <w:szCs w:val="16"/>
        </w:rPr>
      </w:pPr>
      <w:r>
        <w:rPr>
          <w:sz w:val="20"/>
          <w:szCs w:val="16"/>
        </w:rPr>
        <w:t>ГЭ      – Государственный Эрмитаж. Санкт-Петербург.</w:t>
      </w:r>
    </w:p>
    <w:p w14:paraId="06D5A6A1" w14:textId="77777777" w:rsidR="00CD484C" w:rsidRDefault="00CD484C">
      <w:pPr>
        <w:jc w:val="both"/>
        <w:rPr>
          <w:sz w:val="20"/>
          <w:szCs w:val="16"/>
        </w:rPr>
      </w:pPr>
      <w:r>
        <w:rPr>
          <w:sz w:val="20"/>
          <w:szCs w:val="16"/>
        </w:rPr>
        <w:t>ДГ     – Древнейшие государства на территории Восточной Европы. Материалы и исследования. М.</w:t>
      </w:r>
    </w:p>
    <w:p w14:paraId="4D6614ED" w14:textId="77777777" w:rsidR="00CD484C" w:rsidRDefault="00CD484C">
      <w:pPr>
        <w:jc w:val="both"/>
        <w:rPr>
          <w:sz w:val="20"/>
          <w:szCs w:val="16"/>
        </w:rPr>
      </w:pPr>
      <w:r>
        <w:rPr>
          <w:sz w:val="20"/>
          <w:szCs w:val="16"/>
        </w:rPr>
        <w:t>ИВ     – Институт востоковедения РАН. М.</w:t>
      </w:r>
    </w:p>
    <w:p w14:paraId="603DA8E7" w14:textId="77777777" w:rsidR="00CD484C" w:rsidRDefault="00CD484C">
      <w:pPr>
        <w:jc w:val="both"/>
        <w:rPr>
          <w:sz w:val="20"/>
          <w:szCs w:val="16"/>
        </w:rPr>
      </w:pPr>
      <w:r>
        <w:rPr>
          <w:sz w:val="20"/>
          <w:szCs w:val="16"/>
        </w:rPr>
        <w:t>ИФ    – Издательская фирма.</w:t>
      </w:r>
    </w:p>
    <w:p w14:paraId="388599D5" w14:textId="77777777" w:rsidR="00CD484C" w:rsidRDefault="00CD484C">
      <w:pPr>
        <w:jc w:val="both"/>
        <w:rPr>
          <w:sz w:val="20"/>
          <w:szCs w:val="16"/>
        </w:rPr>
      </w:pPr>
      <w:r>
        <w:rPr>
          <w:sz w:val="20"/>
          <w:szCs w:val="16"/>
        </w:rPr>
        <w:t>МИА – Материалы по археологии СССР.</w:t>
      </w:r>
    </w:p>
    <w:p w14:paraId="786B5A24" w14:textId="77777777" w:rsidR="00CD484C" w:rsidRDefault="00CD484C">
      <w:pPr>
        <w:jc w:val="both"/>
        <w:rPr>
          <w:sz w:val="20"/>
          <w:szCs w:val="16"/>
        </w:rPr>
      </w:pPr>
      <w:r>
        <w:rPr>
          <w:sz w:val="20"/>
          <w:szCs w:val="16"/>
        </w:rPr>
        <w:t>МНА – Международный нумизматический альманах. Вологда.</w:t>
      </w:r>
    </w:p>
    <w:p w14:paraId="496E0825" w14:textId="77777777" w:rsidR="00CD484C" w:rsidRDefault="00CD484C">
      <w:pPr>
        <w:jc w:val="both"/>
        <w:rPr>
          <w:sz w:val="20"/>
          <w:szCs w:val="16"/>
        </w:rPr>
      </w:pPr>
      <w:r>
        <w:rPr>
          <w:sz w:val="20"/>
          <w:szCs w:val="16"/>
        </w:rPr>
        <w:t>НА    – Нумизматический альманах. М.</w:t>
      </w:r>
    </w:p>
    <w:p w14:paraId="1D3B5107" w14:textId="77777777" w:rsidR="00CD484C" w:rsidRDefault="00CD484C">
      <w:pPr>
        <w:jc w:val="both"/>
        <w:rPr>
          <w:sz w:val="20"/>
          <w:szCs w:val="16"/>
        </w:rPr>
      </w:pPr>
      <w:r>
        <w:rPr>
          <w:sz w:val="20"/>
          <w:szCs w:val="16"/>
        </w:rPr>
        <w:t>НЭ    –  Нумизматика и эпиграфика. М.- Л.</w:t>
      </w:r>
    </w:p>
    <w:p w14:paraId="07A04E5E" w14:textId="77777777" w:rsidR="00CD484C" w:rsidRDefault="00CD484C">
      <w:pPr>
        <w:jc w:val="both"/>
        <w:rPr>
          <w:sz w:val="20"/>
          <w:szCs w:val="16"/>
        </w:rPr>
      </w:pPr>
      <w:r>
        <w:rPr>
          <w:sz w:val="20"/>
          <w:szCs w:val="16"/>
        </w:rPr>
        <w:t>РА     – Российская археология. М.</w:t>
      </w:r>
    </w:p>
    <w:p w14:paraId="2BEB10F1" w14:textId="77777777" w:rsidR="00CD484C" w:rsidRDefault="00CD484C">
      <w:pPr>
        <w:jc w:val="both"/>
        <w:rPr>
          <w:sz w:val="20"/>
          <w:szCs w:val="16"/>
        </w:rPr>
      </w:pPr>
      <w:r>
        <w:rPr>
          <w:sz w:val="20"/>
          <w:szCs w:val="16"/>
        </w:rPr>
        <w:t>СА    – Советская археология. М.</w:t>
      </w:r>
    </w:p>
    <w:p w14:paraId="73F5A824" w14:textId="77777777" w:rsidR="00CD484C" w:rsidRDefault="00CD484C">
      <w:pPr>
        <w:jc w:val="both"/>
        <w:rPr>
          <w:sz w:val="20"/>
          <w:szCs w:val="16"/>
        </w:rPr>
      </w:pPr>
      <w:r>
        <w:rPr>
          <w:sz w:val="20"/>
          <w:szCs w:val="16"/>
        </w:rPr>
        <w:t>ТГЭ  – Труды Государственного Эрмитажа. Л.</w:t>
      </w:r>
    </w:p>
    <w:p w14:paraId="32406EEE" w14:textId="77777777" w:rsidR="00CD484C" w:rsidRDefault="00CD484C">
      <w:pPr>
        <w:jc w:val="both"/>
        <w:rPr>
          <w:sz w:val="20"/>
          <w:szCs w:val="16"/>
        </w:rPr>
      </w:pPr>
      <w:r>
        <w:rPr>
          <w:sz w:val="20"/>
          <w:szCs w:val="16"/>
        </w:rPr>
        <w:t>ЭВ    – Эпиграфика Востока. М.-Л.</w:t>
      </w:r>
    </w:p>
    <w:p w14:paraId="6CEC720E" w14:textId="77777777" w:rsidR="00CD484C" w:rsidRDefault="00CD484C">
      <w:pPr>
        <w:ind w:firstLine="397"/>
        <w:jc w:val="both"/>
        <w:rPr>
          <w:sz w:val="20"/>
          <w:szCs w:val="16"/>
        </w:rPr>
      </w:pPr>
    </w:p>
    <w:p w14:paraId="45E07BDF" w14:textId="77777777" w:rsidR="00CD484C" w:rsidRDefault="00CD484C">
      <w:pPr>
        <w:ind w:firstLine="397"/>
        <w:jc w:val="both"/>
        <w:rPr>
          <w:sz w:val="20"/>
          <w:szCs w:val="16"/>
        </w:rPr>
      </w:pPr>
    </w:p>
    <w:p w14:paraId="4FFCEC5B" w14:textId="77777777" w:rsidR="00CD484C" w:rsidRDefault="00CD484C">
      <w:pPr>
        <w:ind w:firstLine="397"/>
        <w:jc w:val="both"/>
        <w:rPr>
          <w:sz w:val="20"/>
          <w:szCs w:val="16"/>
        </w:rPr>
      </w:pPr>
    </w:p>
    <w:p w14:paraId="350450CD" w14:textId="77777777" w:rsidR="00CD484C" w:rsidRDefault="00CD484C">
      <w:pPr>
        <w:ind w:firstLine="397"/>
        <w:jc w:val="both"/>
        <w:rPr>
          <w:sz w:val="20"/>
          <w:szCs w:val="16"/>
        </w:rPr>
      </w:pPr>
    </w:p>
    <w:p w14:paraId="019C97FA" w14:textId="77777777" w:rsidR="00CD484C" w:rsidRDefault="00CD484C">
      <w:pPr>
        <w:ind w:firstLine="397"/>
        <w:jc w:val="both"/>
        <w:rPr>
          <w:sz w:val="20"/>
          <w:szCs w:val="16"/>
        </w:rPr>
      </w:pPr>
    </w:p>
    <w:p w14:paraId="6F7EFA94" w14:textId="77777777" w:rsidR="00CD484C" w:rsidRDefault="00CD484C">
      <w:pPr>
        <w:ind w:firstLine="397"/>
        <w:jc w:val="both"/>
        <w:rPr>
          <w:sz w:val="20"/>
          <w:szCs w:val="16"/>
        </w:rPr>
      </w:pPr>
    </w:p>
    <w:p w14:paraId="755FF8C6" w14:textId="77777777" w:rsidR="00CD484C" w:rsidRDefault="00CD484C">
      <w:pPr>
        <w:ind w:firstLine="397"/>
        <w:jc w:val="both"/>
        <w:rPr>
          <w:sz w:val="20"/>
          <w:szCs w:val="16"/>
        </w:rPr>
      </w:pPr>
    </w:p>
    <w:p w14:paraId="7DD7B6CB" w14:textId="77777777" w:rsidR="00CD484C" w:rsidRDefault="00CD484C">
      <w:pPr>
        <w:ind w:firstLine="397"/>
        <w:jc w:val="both"/>
        <w:rPr>
          <w:sz w:val="20"/>
          <w:szCs w:val="16"/>
        </w:rPr>
      </w:pPr>
    </w:p>
    <w:p w14:paraId="578C751E" w14:textId="77777777" w:rsidR="00CD484C" w:rsidRDefault="00CD484C">
      <w:pPr>
        <w:ind w:firstLine="397"/>
        <w:jc w:val="both"/>
        <w:rPr>
          <w:sz w:val="20"/>
          <w:szCs w:val="16"/>
        </w:rPr>
      </w:pPr>
    </w:p>
    <w:p w14:paraId="4275E4FA" w14:textId="77777777" w:rsidR="00CD484C" w:rsidRDefault="00CD484C">
      <w:pPr>
        <w:ind w:firstLine="397"/>
        <w:jc w:val="both"/>
        <w:rPr>
          <w:sz w:val="20"/>
          <w:szCs w:val="16"/>
        </w:rPr>
      </w:pPr>
    </w:p>
    <w:p w14:paraId="3FDE25EF" w14:textId="51C83C9C" w:rsidR="00CD484C" w:rsidRDefault="00395416">
      <w:pPr>
        <w:pStyle w:val="a3"/>
      </w:pPr>
      <w:r>
        <w:rPr>
          <w:noProof/>
          <w:sz w:val="20"/>
        </w:rPr>
        <w:lastRenderedPageBreak/>
        <mc:AlternateContent>
          <mc:Choice Requires="wps">
            <w:drawing>
              <wp:anchor distT="0" distB="0" distL="114300" distR="114300" simplePos="0" relativeHeight="251700736" behindDoc="0" locked="0" layoutInCell="1" allowOverlap="1" wp14:anchorId="11B23F6A" wp14:editId="34D45B88">
                <wp:simplePos x="0" y="0"/>
                <wp:positionH relativeFrom="column">
                  <wp:posOffset>-130810</wp:posOffset>
                </wp:positionH>
                <wp:positionV relativeFrom="paragraph">
                  <wp:posOffset>-327025</wp:posOffset>
                </wp:positionV>
                <wp:extent cx="4914900" cy="342900"/>
                <wp:effectExtent l="0" t="0" r="0" b="1905"/>
                <wp:wrapNone/>
                <wp:docPr id="807760003"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7FDAD" id="Rectangle 268" o:spid="_x0000_s1026" style="position:absolute;margin-left:-10.3pt;margin-top:-25.75pt;width:387pt;height:2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" stroked="f"/>
            </w:pict>
          </mc:Fallback>
        </mc:AlternateContent>
      </w:r>
      <w:r w:rsidR="00CD484C">
        <w:t>СОДЕРЖАНИЕ</w:t>
      </w:r>
    </w:p>
    <w:p w14:paraId="486216DE" w14:textId="77777777" w:rsidR="00CD484C" w:rsidRDefault="00CD484C">
      <w:pPr>
        <w:tabs>
          <w:tab w:val="right" w:leader="dot" w:pos="6237"/>
        </w:tabs>
        <w:ind w:right="287"/>
        <w:jc w:val="both"/>
        <w:rPr>
          <w:sz w:val="20"/>
          <w:szCs w:val="16"/>
        </w:rPr>
      </w:pPr>
      <w:r>
        <w:rPr>
          <w:sz w:val="20"/>
          <w:szCs w:val="16"/>
        </w:rPr>
        <w:t>Введение</w:t>
      </w:r>
      <w:r>
        <w:rPr>
          <w:sz w:val="20"/>
          <w:szCs w:val="16"/>
        </w:rPr>
        <w:tab/>
        <w:t>3</w:t>
      </w:r>
    </w:p>
    <w:p w14:paraId="761422B4" w14:textId="77777777" w:rsidR="00CD484C" w:rsidRDefault="00CD484C">
      <w:pPr>
        <w:tabs>
          <w:tab w:val="right" w:leader="dot" w:pos="6237"/>
        </w:tabs>
        <w:ind w:right="287"/>
        <w:jc w:val="both"/>
        <w:rPr>
          <w:i/>
          <w:iCs/>
          <w:sz w:val="20"/>
          <w:szCs w:val="16"/>
        </w:rPr>
      </w:pPr>
      <w:r>
        <w:rPr>
          <w:i/>
          <w:iCs/>
          <w:sz w:val="20"/>
          <w:szCs w:val="16"/>
        </w:rPr>
        <w:t xml:space="preserve">Очерк 1. </w:t>
      </w:r>
    </w:p>
    <w:p w14:paraId="7D844E58" w14:textId="77777777" w:rsidR="00CD484C" w:rsidRDefault="00CD484C">
      <w:pPr>
        <w:tabs>
          <w:tab w:val="right" w:leader="dot" w:pos="6237"/>
        </w:tabs>
        <w:ind w:right="287"/>
        <w:jc w:val="both"/>
        <w:rPr>
          <w:sz w:val="20"/>
          <w:szCs w:val="16"/>
        </w:rPr>
      </w:pPr>
      <w:r>
        <w:rPr>
          <w:sz w:val="20"/>
          <w:szCs w:val="16"/>
        </w:rPr>
        <w:t>Первый трансконтинентальный путь куфических монет в Европу</w:t>
      </w:r>
      <w:r>
        <w:rPr>
          <w:sz w:val="20"/>
          <w:szCs w:val="16"/>
        </w:rPr>
        <w:tab/>
        <w:t>7</w:t>
      </w:r>
    </w:p>
    <w:p w14:paraId="57BE8904" w14:textId="77777777" w:rsidR="00CD484C" w:rsidRDefault="00CD484C">
      <w:pPr>
        <w:tabs>
          <w:tab w:val="right" w:leader="dot" w:pos="6237"/>
        </w:tabs>
        <w:ind w:right="287"/>
        <w:jc w:val="both"/>
        <w:rPr>
          <w:i/>
          <w:iCs/>
          <w:sz w:val="20"/>
          <w:szCs w:val="16"/>
        </w:rPr>
      </w:pPr>
      <w:r>
        <w:rPr>
          <w:i/>
          <w:iCs/>
          <w:sz w:val="20"/>
          <w:szCs w:val="16"/>
        </w:rPr>
        <w:t xml:space="preserve">Очерк 2. </w:t>
      </w:r>
    </w:p>
    <w:p w14:paraId="439B52D1" w14:textId="77777777" w:rsidR="00CD484C" w:rsidRDefault="00CD484C">
      <w:pPr>
        <w:tabs>
          <w:tab w:val="right" w:leader="dot" w:pos="6237"/>
        </w:tabs>
        <w:ind w:right="287"/>
        <w:rPr>
          <w:i/>
          <w:iCs/>
          <w:sz w:val="20"/>
          <w:szCs w:val="16"/>
        </w:rPr>
      </w:pPr>
      <w:r>
        <w:rPr>
          <w:sz w:val="20"/>
          <w:szCs w:val="16"/>
        </w:rPr>
        <w:t xml:space="preserve">Поступление куфического серебра в Восточную Европу в Х в. </w:t>
      </w:r>
      <w:r>
        <w:rPr>
          <w:sz w:val="20"/>
          <w:szCs w:val="16"/>
        </w:rPr>
        <w:br/>
        <w:t>(Потенциал</w:t>
      </w:r>
      <w:r>
        <w:rPr>
          <w:b/>
          <w:sz w:val="20"/>
          <w:szCs w:val="16"/>
        </w:rPr>
        <w:t xml:space="preserve"> </w:t>
      </w:r>
      <w:r>
        <w:rPr>
          <w:sz w:val="20"/>
          <w:szCs w:val="16"/>
        </w:rPr>
        <w:t>династийно</w:t>
      </w:r>
      <w:r>
        <w:rPr>
          <w:b/>
          <w:sz w:val="20"/>
          <w:szCs w:val="16"/>
        </w:rPr>
        <w:t>-</w:t>
      </w:r>
      <w:r>
        <w:rPr>
          <w:sz w:val="20"/>
          <w:szCs w:val="16"/>
        </w:rPr>
        <w:t>географического</w:t>
      </w:r>
      <w:r>
        <w:rPr>
          <w:b/>
          <w:sz w:val="20"/>
          <w:szCs w:val="16"/>
        </w:rPr>
        <w:t xml:space="preserve"> </w:t>
      </w:r>
      <w:r>
        <w:rPr>
          <w:sz w:val="20"/>
          <w:szCs w:val="16"/>
        </w:rPr>
        <w:t>распределения)</w:t>
      </w:r>
      <w:r>
        <w:rPr>
          <w:sz w:val="20"/>
          <w:szCs w:val="16"/>
        </w:rPr>
        <w:tab/>
        <w:t>27</w:t>
      </w:r>
      <w:r>
        <w:rPr>
          <w:i/>
          <w:iCs/>
          <w:sz w:val="20"/>
          <w:szCs w:val="16"/>
        </w:rPr>
        <w:t xml:space="preserve"> </w:t>
      </w:r>
    </w:p>
    <w:p w14:paraId="38C4F923" w14:textId="77777777" w:rsidR="00CD484C" w:rsidRDefault="00CD484C">
      <w:pPr>
        <w:tabs>
          <w:tab w:val="right" w:leader="dot" w:pos="6237"/>
        </w:tabs>
        <w:ind w:right="287"/>
        <w:jc w:val="both"/>
        <w:rPr>
          <w:sz w:val="20"/>
          <w:szCs w:val="16"/>
        </w:rPr>
      </w:pPr>
      <w:r>
        <w:rPr>
          <w:i/>
          <w:iCs/>
          <w:sz w:val="20"/>
          <w:szCs w:val="16"/>
        </w:rPr>
        <w:t>Очерк 3.</w:t>
      </w:r>
      <w:r>
        <w:rPr>
          <w:sz w:val="20"/>
          <w:szCs w:val="16"/>
        </w:rPr>
        <w:t xml:space="preserve"> </w:t>
      </w:r>
    </w:p>
    <w:p w14:paraId="77968C0D" w14:textId="77777777" w:rsidR="00CD484C" w:rsidRDefault="00CD484C">
      <w:pPr>
        <w:tabs>
          <w:tab w:val="right" w:leader="dot" w:pos="6237"/>
        </w:tabs>
        <w:ind w:right="287"/>
        <w:rPr>
          <w:i/>
          <w:iCs/>
          <w:sz w:val="20"/>
          <w:szCs w:val="16"/>
        </w:rPr>
      </w:pPr>
      <w:r>
        <w:rPr>
          <w:sz w:val="20"/>
          <w:szCs w:val="16"/>
        </w:rPr>
        <w:t xml:space="preserve">Уровни связей и типы денежных депозитов в Европе </w:t>
      </w:r>
      <w:r>
        <w:rPr>
          <w:sz w:val="20"/>
          <w:szCs w:val="16"/>
        </w:rPr>
        <w:br/>
        <w:t>в конце IX – начале X  вв.</w:t>
      </w:r>
      <w:r>
        <w:rPr>
          <w:sz w:val="20"/>
          <w:szCs w:val="16"/>
        </w:rPr>
        <w:tab/>
        <w:t>40</w:t>
      </w:r>
      <w:r>
        <w:rPr>
          <w:i/>
          <w:iCs/>
          <w:sz w:val="20"/>
          <w:szCs w:val="16"/>
        </w:rPr>
        <w:t xml:space="preserve"> </w:t>
      </w:r>
    </w:p>
    <w:p w14:paraId="6587D4D8" w14:textId="77777777" w:rsidR="00CD484C" w:rsidRDefault="00CD484C">
      <w:pPr>
        <w:tabs>
          <w:tab w:val="right" w:leader="dot" w:pos="6237"/>
        </w:tabs>
        <w:ind w:right="287"/>
        <w:jc w:val="both"/>
        <w:rPr>
          <w:i/>
          <w:iCs/>
          <w:sz w:val="20"/>
          <w:szCs w:val="16"/>
        </w:rPr>
      </w:pPr>
      <w:r>
        <w:rPr>
          <w:i/>
          <w:iCs/>
          <w:sz w:val="20"/>
          <w:szCs w:val="16"/>
        </w:rPr>
        <w:t xml:space="preserve">Очерк 4. </w:t>
      </w:r>
    </w:p>
    <w:p w14:paraId="26FD41B4" w14:textId="77777777" w:rsidR="00CD484C" w:rsidRDefault="00CD484C">
      <w:pPr>
        <w:tabs>
          <w:tab w:val="right" w:leader="dot" w:pos="6237"/>
        </w:tabs>
        <w:ind w:right="287"/>
        <w:rPr>
          <w:sz w:val="20"/>
          <w:szCs w:val="16"/>
        </w:rPr>
      </w:pPr>
      <w:r>
        <w:rPr>
          <w:sz w:val="20"/>
          <w:szCs w:val="16"/>
        </w:rPr>
        <w:t xml:space="preserve">Закавказские клады куфических монет первой половины Х в. </w:t>
      </w:r>
      <w:r>
        <w:rPr>
          <w:sz w:val="20"/>
          <w:szCs w:val="16"/>
        </w:rPr>
        <w:br/>
        <w:t>(Опыт историко-нумизматического изучения)</w:t>
      </w:r>
      <w:r>
        <w:rPr>
          <w:sz w:val="20"/>
          <w:szCs w:val="16"/>
        </w:rPr>
        <w:tab/>
        <w:t>69</w:t>
      </w:r>
    </w:p>
    <w:p w14:paraId="5CCE6B0F" w14:textId="77777777" w:rsidR="00CD484C" w:rsidRDefault="00CD484C">
      <w:pPr>
        <w:tabs>
          <w:tab w:val="right" w:leader="dot" w:pos="6237"/>
        </w:tabs>
        <w:ind w:right="287"/>
        <w:jc w:val="both"/>
        <w:rPr>
          <w:i/>
          <w:iCs/>
          <w:sz w:val="20"/>
          <w:szCs w:val="16"/>
        </w:rPr>
      </w:pPr>
      <w:r>
        <w:rPr>
          <w:i/>
          <w:iCs/>
          <w:sz w:val="20"/>
          <w:szCs w:val="16"/>
        </w:rPr>
        <w:t xml:space="preserve">Очерк 5. </w:t>
      </w:r>
    </w:p>
    <w:p w14:paraId="75EE0207" w14:textId="77777777" w:rsidR="00CD484C" w:rsidRDefault="00CD484C">
      <w:pPr>
        <w:tabs>
          <w:tab w:val="right" w:leader="dot" w:pos="6237"/>
        </w:tabs>
        <w:ind w:right="287"/>
        <w:rPr>
          <w:sz w:val="20"/>
          <w:szCs w:val="16"/>
        </w:rPr>
      </w:pPr>
      <w:r>
        <w:rPr>
          <w:sz w:val="20"/>
          <w:szCs w:val="16"/>
        </w:rPr>
        <w:t xml:space="preserve">Торговые связи Центральной Азии, Ирана, Азербайджана и Европы </w:t>
      </w:r>
      <w:r>
        <w:rPr>
          <w:sz w:val="20"/>
          <w:szCs w:val="16"/>
        </w:rPr>
        <w:br/>
        <w:t>на рубеже Х–XI вв.</w:t>
      </w:r>
      <w:r>
        <w:rPr>
          <w:sz w:val="20"/>
          <w:szCs w:val="16"/>
        </w:rPr>
        <w:tab/>
        <w:t xml:space="preserve">98 </w:t>
      </w:r>
    </w:p>
    <w:p w14:paraId="46D0AFBE" w14:textId="77777777" w:rsidR="00CD484C" w:rsidRDefault="00CD484C">
      <w:pPr>
        <w:tabs>
          <w:tab w:val="right" w:leader="dot" w:pos="6237"/>
        </w:tabs>
        <w:ind w:right="287"/>
        <w:jc w:val="both"/>
        <w:rPr>
          <w:sz w:val="20"/>
          <w:szCs w:val="16"/>
        </w:rPr>
      </w:pPr>
      <w:r>
        <w:rPr>
          <w:sz w:val="20"/>
          <w:szCs w:val="16"/>
        </w:rPr>
        <w:t>Вместо заключения</w:t>
      </w:r>
      <w:r>
        <w:rPr>
          <w:sz w:val="20"/>
          <w:szCs w:val="16"/>
        </w:rPr>
        <w:tab/>
        <w:t>117</w:t>
      </w:r>
    </w:p>
    <w:p w14:paraId="4EF2E6C3" w14:textId="77777777" w:rsidR="00CD484C" w:rsidRDefault="00CD484C">
      <w:pPr>
        <w:pStyle w:val="2"/>
        <w:tabs>
          <w:tab w:val="right" w:leader="dot" w:pos="6237"/>
        </w:tabs>
        <w:spacing w:before="120" w:after="120"/>
      </w:pPr>
    </w:p>
    <w:p w14:paraId="578B9F67" w14:textId="77777777" w:rsidR="00CD484C" w:rsidRDefault="00CD484C">
      <w:pPr>
        <w:pStyle w:val="2"/>
        <w:tabs>
          <w:tab w:val="right" w:leader="dot" w:pos="6237"/>
        </w:tabs>
        <w:spacing w:before="120" w:after="120"/>
        <w:jc w:val="left"/>
        <w:rPr>
          <w:sz w:val="18"/>
        </w:rPr>
      </w:pPr>
      <w:r>
        <w:rPr>
          <w:sz w:val="18"/>
        </w:rPr>
        <w:t>ПРИЛОЖЕНИЕ</w:t>
      </w:r>
    </w:p>
    <w:p w14:paraId="226F2715" w14:textId="77777777" w:rsidR="00CD484C" w:rsidRDefault="00CD484C">
      <w:pPr>
        <w:tabs>
          <w:tab w:val="right" w:leader="dot" w:pos="6237"/>
        </w:tabs>
        <w:jc w:val="both"/>
        <w:rPr>
          <w:sz w:val="20"/>
          <w:szCs w:val="16"/>
        </w:rPr>
      </w:pPr>
      <w:r>
        <w:rPr>
          <w:sz w:val="20"/>
          <w:szCs w:val="16"/>
        </w:rPr>
        <w:t>1. Хронологическая структура клада Велла</w:t>
      </w:r>
      <w:r>
        <w:rPr>
          <w:sz w:val="20"/>
          <w:szCs w:val="16"/>
        </w:rPr>
        <w:tab/>
        <w:t>120</w:t>
      </w:r>
    </w:p>
    <w:p w14:paraId="1D3B235A" w14:textId="77777777" w:rsidR="00CD484C" w:rsidRDefault="00CD484C">
      <w:pPr>
        <w:tabs>
          <w:tab w:val="right" w:leader="dot" w:pos="6237"/>
        </w:tabs>
        <w:jc w:val="both"/>
        <w:rPr>
          <w:sz w:val="20"/>
          <w:szCs w:val="16"/>
        </w:rPr>
      </w:pPr>
      <w:r>
        <w:rPr>
          <w:sz w:val="20"/>
          <w:szCs w:val="16"/>
        </w:rPr>
        <w:t>2. Страна Вису: проблема локализации</w:t>
      </w:r>
      <w:r>
        <w:rPr>
          <w:sz w:val="20"/>
          <w:szCs w:val="16"/>
        </w:rPr>
        <w:tab/>
        <w:t>125</w:t>
      </w:r>
    </w:p>
    <w:p w14:paraId="00C7FB8E" w14:textId="77777777" w:rsidR="00CD484C" w:rsidRDefault="00CD484C">
      <w:pPr>
        <w:tabs>
          <w:tab w:val="right" w:leader="dot" w:pos="6237"/>
        </w:tabs>
        <w:jc w:val="both"/>
        <w:rPr>
          <w:sz w:val="20"/>
          <w:szCs w:val="16"/>
        </w:rPr>
      </w:pPr>
      <w:r>
        <w:rPr>
          <w:sz w:val="20"/>
          <w:szCs w:val="16"/>
        </w:rPr>
        <w:t>Литература</w:t>
      </w:r>
      <w:r>
        <w:rPr>
          <w:sz w:val="20"/>
          <w:szCs w:val="16"/>
        </w:rPr>
        <w:tab/>
        <w:t>135</w:t>
      </w:r>
    </w:p>
    <w:p w14:paraId="130A317C" w14:textId="77777777" w:rsidR="00CD484C" w:rsidRDefault="00CD484C">
      <w:pPr>
        <w:tabs>
          <w:tab w:val="right" w:leader="dot" w:pos="6237"/>
        </w:tabs>
        <w:jc w:val="both"/>
        <w:rPr>
          <w:sz w:val="20"/>
          <w:szCs w:val="16"/>
        </w:rPr>
      </w:pPr>
      <w:r>
        <w:rPr>
          <w:sz w:val="20"/>
          <w:szCs w:val="16"/>
        </w:rPr>
        <w:t>Summary</w:t>
      </w:r>
      <w:r>
        <w:rPr>
          <w:sz w:val="20"/>
          <w:szCs w:val="16"/>
        </w:rPr>
        <w:tab/>
        <w:t>148</w:t>
      </w:r>
    </w:p>
    <w:p w14:paraId="09190CB0" w14:textId="77777777" w:rsidR="00CD484C" w:rsidRDefault="00CD484C">
      <w:pPr>
        <w:tabs>
          <w:tab w:val="right" w:leader="dot" w:pos="6237"/>
        </w:tabs>
        <w:jc w:val="both"/>
        <w:rPr>
          <w:sz w:val="20"/>
          <w:szCs w:val="16"/>
        </w:rPr>
      </w:pPr>
      <w:r>
        <w:rPr>
          <w:sz w:val="20"/>
          <w:szCs w:val="16"/>
        </w:rPr>
        <w:t>Указатель кладов куфических монет</w:t>
      </w:r>
      <w:r>
        <w:rPr>
          <w:sz w:val="20"/>
          <w:szCs w:val="16"/>
        </w:rPr>
        <w:tab/>
        <w:t>154</w:t>
      </w:r>
    </w:p>
    <w:p w14:paraId="2108621E" w14:textId="77777777" w:rsidR="00CD484C" w:rsidRDefault="00CD484C">
      <w:pPr>
        <w:tabs>
          <w:tab w:val="right" w:leader="dot" w:pos="6237"/>
        </w:tabs>
        <w:jc w:val="both"/>
        <w:rPr>
          <w:sz w:val="20"/>
          <w:szCs w:val="16"/>
        </w:rPr>
      </w:pPr>
      <w:r>
        <w:rPr>
          <w:sz w:val="20"/>
          <w:szCs w:val="16"/>
        </w:rPr>
        <w:t>Указатель авторов</w:t>
      </w:r>
      <w:r>
        <w:rPr>
          <w:sz w:val="20"/>
          <w:szCs w:val="16"/>
        </w:rPr>
        <w:tab/>
        <w:t>156</w:t>
      </w:r>
    </w:p>
    <w:p w14:paraId="59A8CE22" w14:textId="77777777" w:rsidR="00CD484C" w:rsidRDefault="00CD484C">
      <w:pPr>
        <w:tabs>
          <w:tab w:val="right" w:leader="dot" w:pos="6237"/>
        </w:tabs>
        <w:jc w:val="both"/>
        <w:rPr>
          <w:sz w:val="20"/>
          <w:szCs w:val="16"/>
        </w:rPr>
      </w:pPr>
      <w:r>
        <w:rPr>
          <w:sz w:val="20"/>
          <w:szCs w:val="16"/>
        </w:rPr>
        <w:t>Список сокращений</w:t>
      </w:r>
      <w:r>
        <w:rPr>
          <w:sz w:val="20"/>
          <w:szCs w:val="16"/>
        </w:rPr>
        <w:tab/>
        <w:t>158</w:t>
      </w:r>
    </w:p>
    <w:p w14:paraId="3BF8DD82" w14:textId="77777777" w:rsidR="00CD484C" w:rsidRDefault="00CD484C">
      <w:pPr>
        <w:ind w:firstLine="397"/>
        <w:jc w:val="both"/>
        <w:rPr>
          <w:sz w:val="20"/>
          <w:szCs w:val="16"/>
        </w:rPr>
      </w:pPr>
    </w:p>
    <w:p w14:paraId="55569CA4" w14:textId="31925EBF" w:rsidR="00CD484C" w:rsidRDefault="00395416">
      <w:pPr>
        <w:ind w:firstLine="397"/>
        <w:jc w:val="both"/>
        <w:rPr>
          <w:sz w:val="20"/>
          <w:szCs w:val="16"/>
        </w:rPr>
      </w:pPr>
      <w:r>
        <w:rPr>
          <w:noProof/>
          <w:sz w:val="20"/>
        </w:rPr>
        <mc:AlternateContent>
          <mc:Choice Requires="wps">
            <w:drawing>
              <wp:anchor distT="0" distB="0" distL="114300" distR="114300" simplePos="0" relativeHeight="251697664" behindDoc="0" locked="0" layoutInCell="1" allowOverlap="1" wp14:anchorId="7E376F50" wp14:editId="6090E447">
                <wp:simplePos x="0" y="0"/>
                <wp:positionH relativeFrom="column">
                  <wp:posOffset>179705</wp:posOffset>
                </wp:positionH>
                <wp:positionV relativeFrom="paragraph">
                  <wp:posOffset>95885</wp:posOffset>
                </wp:positionV>
                <wp:extent cx="4114800" cy="244475"/>
                <wp:effectExtent l="4445" t="1270" r="0" b="1905"/>
                <wp:wrapNone/>
                <wp:docPr id="600559895"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4BCE1" id="Rectangle 263" o:spid="_x0000_s1026" style="position:absolute;margin-left:14.15pt;margin-top:7.55pt;width:324pt;height:19.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" stroked="f"/>
            </w:pict>
          </mc:Fallback>
        </mc:AlternateContent>
      </w:r>
    </w:p>
    <w:p w14:paraId="76C4264D" w14:textId="77777777" w:rsidR="00CD484C" w:rsidRDefault="00CD484C">
      <w:pPr>
        <w:jc w:val="center"/>
        <w:rPr>
          <w:i/>
          <w:iCs/>
          <w:szCs w:val="16"/>
        </w:rPr>
      </w:pPr>
    </w:p>
    <w:p w14:paraId="5DFE594C" w14:textId="77777777" w:rsidR="00CD484C" w:rsidRDefault="00CD484C">
      <w:pPr>
        <w:jc w:val="center"/>
        <w:rPr>
          <w:i/>
          <w:iCs/>
          <w:szCs w:val="16"/>
        </w:rPr>
      </w:pPr>
    </w:p>
    <w:p w14:paraId="01B4A63C" w14:textId="77777777" w:rsidR="00CD484C" w:rsidRDefault="00CD484C">
      <w:pPr>
        <w:jc w:val="center"/>
        <w:rPr>
          <w:i/>
          <w:iCs/>
          <w:szCs w:val="16"/>
        </w:rPr>
      </w:pPr>
    </w:p>
    <w:p w14:paraId="0A59F550" w14:textId="77777777" w:rsidR="00CD484C" w:rsidRDefault="00CD484C">
      <w:pPr>
        <w:jc w:val="center"/>
        <w:rPr>
          <w:i/>
          <w:iCs/>
          <w:szCs w:val="16"/>
        </w:rPr>
      </w:pPr>
    </w:p>
    <w:p w14:paraId="3824A34E" w14:textId="77777777" w:rsidR="00CD484C" w:rsidRDefault="00CD484C">
      <w:pPr>
        <w:jc w:val="center"/>
        <w:rPr>
          <w:i/>
          <w:iCs/>
          <w:szCs w:val="16"/>
        </w:rPr>
      </w:pPr>
    </w:p>
    <w:p w14:paraId="7099BC5E" w14:textId="77777777" w:rsidR="00CD484C" w:rsidRDefault="00CD484C">
      <w:pPr>
        <w:jc w:val="center"/>
        <w:rPr>
          <w:i/>
          <w:iCs/>
          <w:szCs w:val="16"/>
        </w:rPr>
      </w:pPr>
    </w:p>
    <w:p w14:paraId="54DC5949" w14:textId="77777777" w:rsidR="00CD484C" w:rsidRDefault="00CD484C">
      <w:pPr>
        <w:jc w:val="center"/>
        <w:rPr>
          <w:i/>
          <w:iCs/>
          <w:szCs w:val="16"/>
        </w:rPr>
      </w:pPr>
    </w:p>
    <w:p w14:paraId="245A182B" w14:textId="77777777" w:rsidR="00CD484C" w:rsidRDefault="00CD484C">
      <w:pPr>
        <w:jc w:val="center"/>
        <w:rPr>
          <w:i/>
          <w:iCs/>
          <w:szCs w:val="16"/>
        </w:rPr>
      </w:pPr>
    </w:p>
    <w:p w14:paraId="2F5DEA83" w14:textId="77777777" w:rsidR="00CD484C" w:rsidRDefault="00CD484C">
      <w:pPr>
        <w:jc w:val="center"/>
        <w:rPr>
          <w:i/>
          <w:iCs/>
          <w:szCs w:val="16"/>
        </w:rPr>
      </w:pPr>
    </w:p>
    <w:tbl>
      <w:tblPr>
        <w:tblW w:w="6385" w:type="dxa"/>
        <w:jc w:val="center"/>
        <w:tblCellMar>
          <w:left w:w="28" w:type="dxa"/>
          <w:right w:w="28" w:type="dxa"/>
        </w:tblCellMar>
        <w:tblLook w:val="0000" w:firstRow="0" w:lastRow="0" w:firstColumn="0" w:lastColumn="0" w:noHBand="0" w:noVBand="0"/>
      </w:tblPr>
      <w:tblGrid>
        <w:gridCol w:w="647"/>
        <w:gridCol w:w="5738"/>
      </w:tblGrid>
      <w:tr w:rsidR="00CD484C" w14:paraId="651EC966" w14:textId="77777777">
        <w:trPr>
          <w:trHeight w:val="680"/>
          <w:jc w:val="center"/>
        </w:trPr>
        <w:tc>
          <w:tcPr>
            <w:tcW w:w="647" w:type="dxa"/>
            <w:tcBorders>
              <w:top w:val="single" w:sz="4" w:space="0" w:color="auto"/>
              <w:left w:val="single" w:sz="4" w:space="0" w:color="auto"/>
            </w:tcBorders>
          </w:tcPr>
          <w:p w14:paraId="40FA629B" w14:textId="6270A987" w:rsidR="00CD484C" w:rsidRDefault="00395416">
            <w:pPr>
              <w:jc w:val="both"/>
              <w:rPr>
                <w:b/>
                <w:bCs/>
              </w:rPr>
            </w:pPr>
            <w:r>
              <w:rPr>
                <w:b/>
                <w:bCs/>
                <w:noProof/>
              </w:rPr>
              <w:lastRenderedPageBreak/>
              <w:drawing>
                <wp:anchor distT="0" distB="0" distL="114300" distR="114300" simplePos="0" relativeHeight="251618816" behindDoc="0" locked="0" layoutInCell="1" allowOverlap="1" wp14:anchorId="2FB65DE7" wp14:editId="7CA509AA">
                  <wp:simplePos x="0" y="0"/>
                  <wp:positionH relativeFrom="column">
                    <wp:posOffset>80010</wp:posOffset>
                  </wp:positionH>
                  <wp:positionV relativeFrom="page">
                    <wp:posOffset>87630</wp:posOffset>
                  </wp:positionV>
                  <wp:extent cx="375285" cy="393700"/>
                  <wp:effectExtent l="0" t="0" r="0" b="0"/>
                  <wp:wrapTopAndBottom/>
                  <wp:docPr id="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528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484C">
              <w:rPr>
                <w:sz w:val="22"/>
              </w:rPr>
              <w:br w:type="page"/>
            </w:r>
            <w:r w:rsidR="00CD484C">
              <w:rPr>
                <w:szCs w:val="22"/>
              </w:rPr>
              <w:br w:type="page"/>
            </w:r>
          </w:p>
        </w:tc>
        <w:tc>
          <w:tcPr>
            <w:tcW w:w="5738" w:type="dxa"/>
            <w:tcBorders>
              <w:top w:val="single" w:sz="4" w:space="0" w:color="auto"/>
              <w:right w:val="single" w:sz="4" w:space="0" w:color="auto"/>
            </w:tcBorders>
          </w:tcPr>
          <w:p w14:paraId="60A5A4EE" w14:textId="77777777" w:rsidR="00CD484C" w:rsidRDefault="00CD484C">
            <w:pPr>
              <w:jc w:val="center"/>
              <w:rPr>
                <w:b/>
                <w:bCs/>
                <w:sz w:val="20"/>
              </w:rPr>
            </w:pPr>
            <w:r>
              <w:rPr>
                <w:b/>
                <w:bCs/>
                <w:sz w:val="20"/>
              </w:rPr>
              <w:t>Уважаемые читатели!</w:t>
            </w:r>
          </w:p>
          <w:p w14:paraId="4DB52962" w14:textId="77777777" w:rsidR="00CD484C" w:rsidRDefault="00CD484C">
            <w:pPr>
              <w:pStyle w:val="a3"/>
              <w:keepNext w:val="0"/>
              <w:spacing w:before="0" w:after="0"/>
              <w:outlineLvl w:val="9"/>
              <w:rPr>
                <w:sz w:val="20"/>
                <w:szCs w:val="24"/>
              </w:rPr>
            </w:pPr>
            <w:r>
              <w:rPr>
                <w:sz w:val="20"/>
                <w:szCs w:val="24"/>
              </w:rPr>
              <w:t xml:space="preserve">Издательство "Компания Спутник +"  и редакция журналов </w:t>
            </w:r>
          </w:p>
          <w:p w14:paraId="3A017629" w14:textId="77777777" w:rsidR="00CD484C" w:rsidRDefault="00CD484C">
            <w:pPr>
              <w:jc w:val="center"/>
              <w:rPr>
                <w:b/>
                <w:bCs/>
                <w:sz w:val="20"/>
              </w:rPr>
            </w:pPr>
            <w:r>
              <w:rPr>
                <w:i/>
                <w:iCs/>
                <w:sz w:val="20"/>
              </w:rPr>
              <w:t xml:space="preserve">«Актуальные проблемы современной науки», «Аспирант и </w:t>
            </w:r>
            <w:r>
              <w:rPr>
                <w:i/>
                <w:iCs/>
                <w:sz w:val="20"/>
              </w:rPr>
              <w:br/>
              <w:t xml:space="preserve">соискатель», «Вопросы гуманитарных наук», «Вопросы </w:t>
            </w:r>
            <w:r>
              <w:rPr>
                <w:i/>
                <w:iCs/>
                <w:sz w:val="20"/>
              </w:rPr>
              <w:br/>
              <w:t xml:space="preserve">филологических наук», «Вопросы экономических наук», </w:t>
            </w:r>
            <w:r>
              <w:rPr>
                <w:i/>
                <w:iCs/>
                <w:sz w:val="20"/>
              </w:rPr>
              <w:br/>
              <w:t xml:space="preserve">«Исторические науки», «Педагогические науки», </w:t>
            </w:r>
            <w:r>
              <w:rPr>
                <w:i/>
                <w:iCs/>
                <w:sz w:val="20"/>
              </w:rPr>
              <w:br/>
              <w:t xml:space="preserve">«Юридические науки», «Естественные и технические </w:t>
            </w:r>
            <w:r>
              <w:rPr>
                <w:i/>
                <w:iCs/>
                <w:sz w:val="20"/>
              </w:rPr>
              <w:br/>
              <w:t>науки», «Медицинские науки» и «Техника и технология»</w:t>
            </w:r>
            <w:r>
              <w:rPr>
                <w:i/>
                <w:iCs/>
                <w:sz w:val="20"/>
              </w:rPr>
              <w:br/>
            </w:r>
            <w:r>
              <w:rPr>
                <w:b/>
                <w:bCs/>
                <w:sz w:val="20"/>
              </w:rPr>
              <w:t>предлагают Вам опубликовать:</w:t>
            </w:r>
          </w:p>
        </w:tc>
      </w:tr>
      <w:tr w:rsidR="00CD484C" w14:paraId="12E723CB" w14:textId="77777777">
        <w:trPr>
          <w:trHeight w:hRule="exact" w:val="2963"/>
          <w:jc w:val="center"/>
        </w:trPr>
        <w:tc>
          <w:tcPr>
            <w:tcW w:w="6385" w:type="dxa"/>
            <w:gridSpan w:val="2"/>
            <w:tcBorders>
              <w:left w:val="single" w:sz="4" w:space="0" w:color="auto"/>
              <w:bottom w:val="single" w:sz="4" w:space="0" w:color="auto"/>
              <w:right w:val="single" w:sz="4" w:space="0" w:color="auto"/>
            </w:tcBorders>
          </w:tcPr>
          <w:p w14:paraId="69214B55" w14:textId="77777777" w:rsidR="00CD484C" w:rsidRDefault="00CD484C">
            <w:pPr>
              <w:pStyle w:val="a4"/>
              <w:numPr>
                <w:ilvl w:val="0"/>
                <w:numId w:val="5"/>
              </w:numPr>
              <w:rPr>
                <w:rFonts w:ascii="Arial" w:hAnsi="Arial" w:cs="Arial"/>
                <w:sz w:val="18"/>
                <w:lang w:val="ru-RU"/>
              </w:rPr>
            </w:pPr>
            <w:r>
              <w:rPr>
                <w:rFonts w:ascii="Arial" w:hAnsi="Arial" w:cs="Arial"/>
                <w:sz w:val="18"/>
                <w:lang w:val="ru-RU"/>
              </w:rPr>
              <w:t>монографии, научные труды  малыми тиражами (от 50 экз.);</w:t>
            </w:r>
          </w:p>
          <w:p w14:paraId="3D53F0B1" w14:textId="77777777" w:rsidR="00CD484C" w:rsidRDefault="00CD484C">
            <w:pPr>
              <w:pStyle w:val="a4"/>
              <w:numPr>
                <w:ilvl w:val="0"/>
                <w:numId w:val="5"/>
              </w:numPr>
              <w:rPr>
                <w:rFonts w:ascii="Arial" w:hAnsi="Arial" w:cs="Arial"/>
                <w:sz w:val="18"/>
                <w:lang w:val="ru-RU"/>
              </w:rPr>
            </w:pPr>
            <w:r>
              <w:rPr>
                <w:rFonts w:ascii="Arial" w:hAnsi="Arial" w:cs="Arial"/>
                <w:sz w:val="18"/>
                <w:lang w:val="ru-RU"/>
              </w:rPr>
              <w:t>научные статьи для защиты диссертаций в наших журналах;</w:t>
            </w:r>
          </w:p>
          <w:p w14:paraId="584596F5" w14:textId="77777777" w:rsidR="00CD484C" w:rsidRDefault="00CD484C">
            <w:pPr>
              <w:numPr>
                <w:ilvl w:val="0"/>
                <w:numId w:val="5"/>
              </w:numPr>
              <w:jc w:val="both"/>
              <w:rPr>
                <w:rFonts w:ascii="Arial" w:hAnsi="Arial" w:cs="Arial"/>
                <w:sz w:val="18"/>
              </w:rPr>
            </w:pPr>
            <w:r>
              <w:rPr>
                <w:rFonts w:ascii="Arial" w:hAnsi="Arial" w:cs="Arial"/>
                <w:sz w:val="18"/>
              </w:rPr>
              <w:t>книги, стихи малыми тиражами (от 50 экз.);</w:t>
            </w:r>
          </w:p>
          <w:p w14:paraId="00BD1AFC" w14:textId="77777777" w:rsidR="00CD484C" w:rsidRDefault="00CD484C">
            <w:pPr>
              <w:numPr>
                <w:ilvl w:val="0"/>
                <w:numId w:val="5"/>
              </w:numPr>
              <w:jc w:val="both"/>
              <w:rPr>
                <w:rFonts w:ascii="Arial" w:hAnsi="Arial" w:cs="Arial"/>
                <w:sz w:val="18"/>
              </w:rPr>
            </w:pPr>
            <w:r>
              <w:rPr>
                <w:rFonts w:ascii="Arial" w:hAnsi="Arial" w:cs="Arial"/>
                <w:sz w:val="18"/>
              </w:rPr>
              <w:t>авторефераты диссертаций (100 экз. за 1-3 дня).</w:t>
            </w:r>
          </w:p>
          <w:p w14:paraId="71C0F130" w14:textId="77777777" w:rsidR="00CD484C" w:rsidRDefault="00CD484C">
            <w:pPr>
              <w:numPr>
                <w:ilvl w:val="0"/>
                <w:numId w:val="6"/>
              </w:numPr>
              <w:jc w:val="both"/>
              <w:rPr>
                <w:bCs/>
                <w:sz w:val="20"/>
              </w:rPr>
            </w:pPr>
            <w:r>
              <w:rPr>
                <w:bCs/>
                <w:sz w:val="20"/>
              </w:rPr>
              <w:t>Все издания регистрируются в Книжной палате РФ и рассылаются по библиотекам России и СНГ.</w:t>
            </w:r>
          </w:p>
          <w:p w14:paraId="11F1AEC2" w14:textId="77777777" w:rsidR="00CD484C" w:rsidRDefault="00CD484C">
            <w:pPr>
              <w:pStyle w:val="20"/>
              <w:numPr>
                <w:ilvl w:val="0"/>
                <w:numId w:val="6"/>
              </w:numPr>
              <w:jc w:val="both"/>
              <w:rPr>
                <w:bCs w:val="0"/>
                <w:spacing w:val="-4"/>
                <w:sz w:val="20"/>
              </w:rPr>
            </w:pPr>
            <w:r>
              <w:rPr>
                <w:bCs w:val="0"/>
                <w:spacing w:val="-4"/>
                <w:sz w:val="20"/>
              </w:rPr>
              <w:t>Осуществляем компьютерный набор и верстку, а также полиграфические работы (визитки, бланки, листовки, переплет).</w:t>
            </w:r>
          </w:p>
          <w:p w14:paraId="7FCA1247" w14:textId="77777777" w:rsidR="00CD484C" w:rsidRDefault="00CD484C">
            <w:pPr>
              <w:numPr>
                <w:ilvl w:val="0"/>
                <w:numId w:val="6"/>
              </w:numPr>
              <w:jc w:val="both"/>
              <w:rPr>
                <w:bCs/>
                <w:sz w:val="20"/>
              </w:rPr>
            </w:pPr>
            <w:r>
              <w:rPr>
                <w:bCs/>
                <w:sz w:val="20"/>
              </w:rPr>
              <w:t>Приглашаем к сотрудничеству авторов учебной, справочной, краеведческой и другой популярной литературы.</w:t>
            </w:r>
          </w:p>
          <w:p w14:paraId="062C2AC7" w14:textId="77777777" w:rsidR="00CD484C" w:rsidRDefault="00CD484C">
            <w:pPr>
              <w:numPr>
                <w:ilvl w:val="0"/>
                <w:numId w:val="6"/>
              </w:numPr>
              <w:jc w:val="both"/>
              <w:rPr>
                <w:b/>
                <w:bCs/>
                <w:sz w:val="20"/>
              </w:rPr>
            </w:pPr>
            <w:r>
              <w:rPr>
                <w:bCs/>
                <w:sz w:val="20"/>
              </w:rPr>
              <w:t>Оказываем помощь в реализации книжной продукции.</w:t>
            </w:r>
          </w:p>
          <w:p w14:paraId="6771C6DE" w14:textId="77777777" w:rsidR="00CD484C" w:rsidRDefault="00CD484C">
            <w:pPr>
              <w:pStyle w:val="1"/>
              <w:ind w:firstLine="51"/>
              <w:jc w:val="center"/>
              <w:rPr>
                <w:b/>
                <w:bCs/>
                <w:i w:val="0"/>
                <w:iCs/>
                <w:lang w:val="ru-RU"/>
              </w:rPr>
            </w:pPr>
            <w:r>
              <w:rPr>
                <w:b/>
                <w:bCs/>
                <w:i w:val="0"/>
                <w:iCs/>
                <w:lang w:val="ru-RU"/>
              </w:rPr>
              <w:t xml:space="preserve">Тел. (095) 778-45-60  (с 9 до 18)  http://www.sputnikplus.ru  </w:t>
            </w:r>
            <w:r>
              <w:rPr>
                <w:b/>
                <w:bCs/>
                <w:i w:val="0"/>
                <w:iCs/>
                <w:lang w:val="ru-RU"/>
              </w:rPr>
              <w:br/>
              <w:t>E-mail: sputnikplus2000@mail.ru</w:t>
            </w:r>
          </w:p>
        </w:tc>
      </w:tr>
    </w:tbl>
    <w:p w14:paraId="4854E0DD" w14:textId="77777777" w:rsidR="00CD484C" w:rsidRDefault="00CD484C">
      <w:pPr>
        <w:pStyle w:val="a7"/>
        <w:ind w:firstLine="0"/>
        <w:jc w:val="center"/>
        <w:rPr>
          <w:i/>
          <w:iCs/>
          <w:sz w:val="10"/>
          <w:szCs w:val="30"/>
          <w:lang w:val="ru-RU"/>
        </w:rPr>
      </w:pPr>
    </w:p>
    <w:p w14:paraId="7B434803" w14:textId="77777777" w:rsidR="00CD484C" w:rsidRDefault="00CD484C">
      <w:pPr>
        <w:pStyle w:val="a7"/>
        <w:ind w:firstLine="0"/>
        <w:jc w:val="center"/>
        <w:rPr>
          <w:i/>
          <w:iCs/>
          <w:sz w:val="22"/>
          <w:szCs w:val="30"/>
          <w:lang w:val="ru-RU"/>
        </w:rPr>
      </w:pPr>
      <w:r>
        <w:rPr>
          <w:i/>
          <w:iCs/>
          <w:sz w:val="22"/>
          <w:szCs w:val="30"/>
          <w:lang w:val="ru-RU"/>
        </w:rPr>
        <w:t>Научное издание</w:t>
      </w:r>
    </w:p>
    <w:p w14:paraId="5F2E911A" w14:textId="77777777" w:rsidR="00CD484C" w:rsidRDefault="00CD484C">
      <w:pPr>
        <w:pStyle w:val="a7"/>
        <w:ind w:firstLine="0"/>
        <w:jc w:val="center"/>
        <w:rPr>
          <w:i/>
          <w:iCs/>
          <w:sz w:val="6"/>
          <w:szCs w:val="30"/>
          <w:lang w:val="ru-RU"/>
        </w:rPr>
      </w:pPr>
    </w:p>
    <w:p w14:paraId="18816F95" w14:textId="77777777" w:rsidR="00CD484C" w:rsidRDefault="00CD484C">
      <w:pPr>
        <w:pStyle w:val="a4"/>
        <w:jc w:val="center"/>
        <w:rPr>
          <w:sz w:val="22"/>
          <w:szCs w:val="22"/>
          <w:lang w:val="ru-RU"/>
        </w:rPr>
      </w:pPr>
      <w:r>
        <w:rPr>
          <w:sz w:val="22"/>
          <w:szCs w:val="22"/>
          <w:lang w:val="ru-RU"/>
        </w:rPr>
        <w:t>Хан Николай Александрович</w:t>
      </w:r>
    </w:p>
    <w:p w14:paraId="38A27880" w14:textId="77777777" w:rsidR="00CD484C" w:rsidRDefault="00CD484C">
      <w:pPr>
        <w:pStyle w:val="a4"/>
        <w:jc w:val="center"/>
        <w:rPr>
          <w:b/>
          <w:bCs/>
          <w:sz w:val="22"/>
          <w:szCs w:val="22"/>
          <w:lang w:val="ru-RU"/>
        </w:rPr>
      </w:pPr>
      <w:r>
        <w:rPr>
          <w:b/>
          <w:bCs/>
          <w:sz w:val="22"/>
          <w:szCs w:val="22"/>
          <w:lang w:val="ru-RU"/>
        </w:rPr>
        <w:t xml:space="preserve">ОЧЕРКИ РАСПРОСТРАНЕНИЯ КУФИЧЕСКИХ МОНЕТ </w:t>
      </w:r>
      <w:r>
        <w:rPr>
          <w:b/>
          <w:bCs/>
          <w:sz w:val="22"/>
          <w:szCs w:val="22"/>
          <w:lang w:val="ru-RU"/>
        </w:rPr>
        <w:br/>
        <w:t xml:space="preserve">НА ТЕРРИТОРИИ ВОСТОЧНОЙ ЕВРОПЫ В VIII–XI вв. </w:t>
      </w:r>
    </w:p>
    <w:p w14:paraId="4BF5AA61" w14:textId="77777777" w:rsidR="00CD484C" w:rsidRDefault="00CD484C">
      <w:pPr>
        <w:pStyle w:val="a4"/>
        <w:jc w:val="center"/>
        <w:rPr>
          <w:sz w:val="22"/>
          <w:szCs w:val="22"/>
          <w:lang w:val="ru-RU"/>
        </w:rPr>
      </w:pPr>
    </w:p>
    <w:p w14:paraId="2A9629F3" w14:textId="77777777" w:rsidR="00CD484C" w:rsidRDefault="00CD484C">
      <w:pPr>
        <w:pStyle w:val="a4"/>
        <w:jc w:val="center"/>
        <w:rPr>
          <w:szCs w:val="22"/>
          <w:lang w:val="ru-RU"/>
        </w:rPr>
      </w:pPr>
      <w:r>
        <w:rPr>
          <w:szCs w:val="22"/>
          <w:lang w:val="ru-RU"/>
        </w:rPr>
        <w:t>Издательство «Компания Спутник+»</w:t>
      </w:r>
    </w:p>
    <w:p w14:paraId="5DD41988" w14:textId="77777777" w:rsidR="00CD484C" w:rsidRDefault="00CD484C">
      <w:pPr>
        <w:pStyle w:val="a4"/>
        <w:jc w:val="center"/>
        <w:rPr>
          <w:szCs w:val="22"/>
          <w:lang w:val="ru-RU"/>
        </w:rPr>
      </w:pPr>
      <w:r>
        <w:rPr>
          <w:szCs w:val="22"/>
          <w:lang w:val="ru-RU"/>
        </w:rPr>
        <w:t>109428, Москва, Рязанский проспект, д. 8а</w:t>
      </w:r>
    </w:p>
    <w:p w14:paraId="2CE45079" w14:textId="77777777" w:rsidR="00CD484C" w:rsidRDefault="00CD484C">
      <w:pPr>
        <w:pStyle w:val="a4"/>
        <w:jc w:val="center"/>
        <w:rPr>
          <w:szCs w:val="22"/>
          <w:lang w:val="ru-RU"/>
        </w:rPr>
      </w:pPr>
      <w:r>
        <w:rPr>
          <w:szCs w:val="22"/>
          <w:lang w:val="ru-RU"/>
        </w:rPr>
        <w:t>Тел.: (095) 778-45-60</w:t>
      </w:r>
    </w:p>
    <w:p w14:paraId="4DEFF22C" w14:textId="77777777" w:rsidR="00CD484C" w:rsidRDefault="00CD484C">
      <w:pPr>
        <w:pStyle w:val="a4"/>
        <w:jc w:val="center"/>
        <w:rPr>
          <w:sz w:val="10"/>
          <w:szCs w:val="22"/>
          <w:lang w:val="ru-RU"/>
        </w:rPr>
      </w:pPr>
    </w:p>
    <w:p w14:paraId="092A4F04" w14:textId="77777777" w:rsidR="00CD484C" w:rsidRDefault="00CD484C">
      <w:pPr>
        <w:pStyle w:val="a4"/>
        <w:jc w:val="center"/>
        <w:rPr>
          <w:szCs w:val="22"/>
          <w:lang w:val="ru-RU"/>
        </w:rPr>
      </w:pPr>
      <w:r>
        <w:rPr>
          <w:szCs w:val="22"/>
          <w:lang w:val="ru-RU"/>
        </w:rPr>
        <w:t>ЛР № 066478 от 30.03.99</w:t>
      </w:r>
    </w:p>
    <w:p w14:paraId="3725F571" w14:textId="77777777" w:rsidR="00CD484C" w:rsidRDefault="00CD484C">
      <w:pPr>
        <w:pStyle w:val="a4"/>
        <w:jc w:val="center"/>
        <w:rPr>
          <w:szCs w:val="15"/>
          <w:lang w:val="ru-RU"/>
        </w:rPr>
      </w:pPr>
      <w:r>
        <w:rPr>
          <w:szCs w:val="15"/>
          <w:lang w:val="ru-RU"/>
        </w:rPr>
        <w:t>Налоговые льготы в соответствии с ОК 005-93</w:t>
      </w:r>
    </w:p>
    <w:p w14:paraId="4645B13D" w14:textId="77777777" w:rsidR="00CD484C" w:rsidRDefault="00CD484C">
      <w:pPr>
        <w:pStyle w:val="a4"/>
        <w:jc w:val="center"/>
        <w:rPr>
          <w:szCs w:val="15"/>
          <w:lang w:val="ru-RU"/>
        </w:rPr>
      </w:pPr>
      <w:r>
        <w:rPr>
          <w:szCs w:val="15"/>
          <w:lang w:val="ru-RU"/>
        </w:rPr>
        <w:t>Том 2 95 3000 – Книги и брошюры</w:t>
      </w:r>
    </w:p>
    <w:p w14:paraId="7AAD4C0B" w14:textId="77777777" w:rsidR="00CD484C" w:rsidRDefault="00CD484C">
      <w:pPr>
        <w:pStyle w:val="a4"/>
        <w:jc w:val="center"/>
        <w:rPr>
          <w:sz w:val="10"/>
          <w:szCs w:val="15"/>
          <w:lang w:val="ru-RU"/>
        </w:rPr>
      </w:pPr>
    </w:p>
    <w:p w14:paraId="654B4EDC" w14:textId="10D119F4" w:rsidR="00CD484C" w:rsidRDefault="00395416">
      <w:pPr>
        <w:pStyle w:val="a4"/>
        <w:jc w:val="center"/>
        <w:rPr>
          <w:szCs w:val="22"/>
          <w:lang w:val="ru-RU"/>
        </w:rPr>
      </w:pPr>
      <w:r>
        <w:rPr>
          <w:b/>
          <w:bCs/>
          <w:noProof/>
          <w:lang w:val="ru-RU"/>
        </w:rPr>
        <mc:AlternateContent>
          <mc:Choice Requires="wps">
            <w:drawing>
              <wp:anchor distT="0" distB="0" distL="114300" distR="114300" simplePos="0" relativeHeight="251619840" behindDoc="0" locked="0" layoutInCell="1" allowOverlap="1" wp14:anchorId="023D3AEB" wp14:editId="33BA6568">
                <wp:simplePos x="0" y="0"/>
                <wp:positionH relativeFrom="column">
                  <wp:posOffset>-65405</wp:posOffset>
                </wp:positionH>
                <wp:positionV relativeFrom="paragraph">
                  <wp:posOffset>154940</wp:posOffset>
                </wp:positionV>
                <wp:extent cx="4229100" cy="342900"/>
                <wp:effectExtent l="0" t="1905" r="1270" b="0"/>
                <wp:wrapNone/>
                <wp:docPr id="706735298"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49E98" id="Rectangle 47" o:spid="_x0000_s1026" style="position:absolute;margin-left:-5.15pt;margin-top:12.2pt;width:333pt;height:27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" stroked="f"/>
            </w:pict>
          </mc:Fallback>
        </mc:AlternateContent>
      </w:r>
      <w:r w:rsidR="00CD484C">
        <w:rPr>
          <w:szCs w:val="22"/>
          <w:lang w:val="ru-RU"/>
        </w:rPr>
        <w:t xml:space="preserve">Санитарно-эпидемиологическое заключение </w:t>
      </w:r>
      <w:r w:rsidR="00CD484C">
        <w:rPr>
          <w:szCs w:val="22"/>
          <w:lang w:val="ru-RU"/>
        </w:rPr>
        <w:br/>
        <w:t>№ 77.99.02.953.Д.000182.01.03  от 15.01.2003 г.</w:t>
      </w:r>
    </w:p>
    <w:p w14:paraId="151D3A59" w14:textId="77777777" w:rsidR="00CD484C" w:rsidRDefault="00CD484C">
      <w:pPr>
        <w:pStyle w:val="a4"/>
        <w:jc w:val="center"/>
        <w:rPr>
          <w:sz w:val="10"/>
          <w:szCs w:val="22"/>
          <w:lang w:val="ru-RU"/>
        </w:rPr>
      </w:pPr>
    </w:p>
    <w:p w14:paraId="1D541571" w14:textId="77777777" w:rsidR="00CD484C" w:rsidRDefault="00CD484C">
      <w:pPr>
        <w:pStyle w:val="a4"/>
        <w:jc w:val="center"/>
        <w:rPr>
          <w:szCs w:val="15"/>
          <w:lang w:val="ru-RU"/>
        </w:rPr>
      </w:pPr>
      <w:r>
        <w:rPr>
          <w:szCs w:val="15"/>
          <w:lang w:val="ru-RU"/>
        </w:rPr>
        <w:t>Подписано в печать .…..2004. Формат 60х90/16.</w:t>
      </w:r>
    </w:p>
    <w:p w14:paraId="3DC750DD" w14:textId="77777777" w:rsidR="00CD484C" w:rsidRDefault="00CD484C">
      <w:pPr>
        <w:pStyle w:val="a4"/>
        <w:jc w:val="center"/>
        <w:rPr>
          <w:szCs w:val="15"/>
          <w:lang w:val="ru-RU"/>
        </w:rPr>
      </w:pPr>
      <w:r>
        <w:rPr>
          <w:szCs w:val="15"/>
          <w:lang w:val="ru-RU"/>
        </w:rPr>
        <w:t>Бумага офсетная. Усл. печ. л. …. Тираж … экз. Заказ ….</w:t>
      </w:r>
    </w:p>
    <w:p w14:paraId="22760CB2" w14:textId="77777777" w:rsidR="00CD484C" w:rsidRDefault="00CD484C">
      <w:pPr>
        <w:pStyle w:val="a4"/>
        <w:jc w:val="center"/>
        <w:rPr>
          <w:sz w:val="10"/>
          <w:szCs w:val="15"/>
          <w:lang w:val="ru-RU"/>
        </w:rPr>
      </w:pPr>
    </w:p>
    <w:p w14:paraId="25D1DD69" w14:textId="77777777" w:rsidR="00CD484C" w:rsidRDefault="00CD484C">
      <w:pPr>
        <w:pStyle w:val="a4"/>
        <w:jc w:val="center"/>
        <w:rPr>
          <w:szCs w:val="15"/>
          <w:lang w:val="ru-RU"/>
        </w:rPr>
      </w:pPr>
      <w:r>
        <w:rPr>
          <w:szCs w:val="15"/>
          <w:lang w:val="ru-RU"/>
        </w:rPr>
        <w:t>Отпечатано в ООО «Компания Спутник +»</w:t>
      </w:r>
    </w:p>
    <w:p w14:paraId="7F27C953" w14:textId="77777777" w:rsidR="00CD484C" w:rsidRDefault="00CD484C">
      <w:pPr>
        <w:pStyle w:val="a4"/>
        <w:jc w:val="center"/>
        <w:rPr>
          <w:lang w:val="ru-RU"/>
        </w:rPr>
      </w:pPr>
      <w:r>
        <w:rPr>
          <w:lang w:val="ru-RU"/>
        </w:rPr>
        <w:t>ПД № 1-00007 от 28.07.2000</w:t>
      </w:r>
    </w:p>
    <w:p w14:paraId="34638098" w14:textId="2D093CDE" w:rsidR="00CD484C" w:rsidRDefault="00395416">
      <w:pPr>
        <w:pStyle w:val="a4"/>
        <w:jc w:val="center"/>
        <w:rPr>
          <w:lang w:val="ru-RU"/>
        </w:rPr>
      </w:pPr>
      <w:r>
        <w:rPr>
          <w:noProof/>
          <w:lang w:val="ru-RU"/>
        </w:rPr>
        <w:lastRenderedPageBreak/>
        <mc:AlternateContent>
          <mc:Choice Requires="wps">
            <w:drawing>
              <wp:anchor distT="0" distB="0" distL="114300" distR="114300" simplePos="0" relativeHeight="251699712" behindDoc="0" locked="0" layoutInCell="1" allowOverlap="1" wp14:anchorId="0209EE3D" wp14:editId="15E92A52">
                <wp:simplePos x="0" y="0"/>
                <wp:positionH relativeFrom="column">
                  <wp:posOffset>1371600</wp:posOffset>
                </wp:positionH>
                <wp:positionV relativeFrom="paragraph">
                  <wp:posOffset>5730875</wp:posOffset>
                </wp:positionV>
                <wp:extent cx="1485900" cy="1143000"/>
                <wp:effectExtent l="6985" t="8890" r="2540" b="635"/>
                <wp:wrapNone/>
                <wp:docPr id="2136184025" name="Oval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430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0FBB35" id="Oval 266" o:spid="_x0000_s1026" style="position:absolute;margin-left:108pt;margin-top:451.25pt;width:117pt;height:90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" stroked="f"/>
            </w:pict>
          </mc:Fallback>
        </mc:AlternateContent>
      </w:r>
      <w:r>
        <w:rPr>
          <w:noProof/>
          <w:lang w:val="ru-RU"/>
        </w:rPr>
        <mc:AlternateContent>
          <mc:Choice Requires="wps">
            <w:drawing>
              <wp:anchor distT="0" distB="0" distL="114300" distR="114300" simplePos="0" relativeHeight="251698688" behindDoc="0" locked="0" layoutInCell="1" allowOverlap="1" wp14:anchorId="52055BB9" wp14:editId="04549787">
                <wp:simplePos x="0" y="0"/>
                <wp:positionH relativeFrom="column">
                  <wp:posOffset>-228600</wp:posOffset>
                </wp:positionH>
                <wp:positionV relativeFrom="paragraph">
                  <wp:posOffset>-555625</wp:posOffset>
                </wp:positionV>
                <wp:extent cx="5029200" cy="1143000"/>
                <wp:effectExtent l="0" t="0" r="2540" b="635"/>
                <wp:wrapNone/>
                <wp:docPr id="565296529"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073D4" id="Rectangle 265" o:spid="_x0000_s1026" style="position:absolute;margin-left:-18pt;margin-top:-43.75pt;width:396pt;height:90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" stroked="f"/>
            </w:pict>
          </mc:Fallback>
        </mc:AlternateContent>
      </w:r>
    </w:p>
    <w:sectPr w:rsidR="00CD484C">
      <w:type w:val="continuous"/>
      <w:pgSz w:w="8392" w:h="11907" w:code="11"/>
      <w:pgMar w:top="567" w:right="1134"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E5BC7" w14:textId="77777777" w:rsidR="00477013" w:rsidRDefault="00477013">
      <w:r>
        <w:separator/>
      </w:r>
    </w:p>
  </w:endnote>
  <w:endnote w:type="continuationSeparator" w:id="0">
    <w:p w14:paraId="03104E2A" w14:textId="77777777" w:rsidR="00477013" w:rsidRDefault="0047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112D" w14:textId="77777777" w:rsidR="00AE2133" w:rsidRDefault="00AE2133">
    <w:pPr>
      <w:pStyle w:val="ab"/>
      <w:framePr w:wrap="around" w:vAnchor="text" w:hAnchor="margin" w:xAlign="center" w:y="1"/>
      <w:rPr>
        <w:rStyle w:val="aa"/>
        <w:rFonts w:ascii="Times New Roman" w:hAnsi="Times New Roman"/>
        <w:sz w:val="20"/>
      </w:rPr>
    </w:pPr>
    <w:r>
      <w:rPr>
        <w:rStyle w:val="aa"/>
        <w:rFonts w:ascii="Times New Roman" w:hAnsi="Times New Roman"/>
        <w:sz w:val="20"/>
      </w:rPr>
      <w:fldChar w:fldCharType="begin"/>
    </w:r>
    <w:r>
      <w:rPr>
        <w:rStyle w:val="aa"/>
        <w:rFonts w:ascii="Times New Roman" w:hAnsi="Times New Roman"/>
        <w:sz w:val="20"/>
      </w:rPr>
      <w:instrText xml:space="preserve">PAGE  </w:instrText>
    </w:r>
    <w:r>
      <w:rPr>
        <w:rStyle w:val="aa"/>
        <w:rFonts w:ascii="Times New Roman" w:hAnsi="Times New Roman"/>
        <w:sz w:val="20"/>
      </w:rPr>
      <w:fldChar w:fldCharType="separate"/>
    </w:r>
    <w:r>
      <w:rPr>
        <w:rStyle w:val="aa"/>
        <w:rFonts w:ascii="Times New Roman" w:hAnsi="Times New Roman"/>
        <w:noProof/>
        <w:sz w:val="20"/>
      </w:rPr>
      <w:t>62</w:t>
    </w:r>
    <w:r>
      <w:rPr>
        <w:rStyle w:val="aa"/>
        <w:rFonts w:ascii="Times New Roman" w:hAnsi="Times New Roman"/>
        <w:sz w:val="20"/>
      </w:rPr>
      <w:fldChar w:fldCharType="end"/>
    </w:r>
  </w:p>
  <w:p w14:paraId="5C8DAA36" w14:textId="77777777" w:rsidR="00AE2133" w:rsidRDefault="00AE213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3E6ED" w14:textId="77777777" w:rsidR="00AE2133" w:rsidRDefault="00AE2133">
    <w:pPr>
      <w:pStyle w:val="ab"/>
      <w:framePr w:wrap="around" w:vAnchor="text" w:hAnchor="margin" w:xAlign="center" w:y="1"/>
      <w:spacing w:before="120"/>
      <w:jc w:val="center"/>
      <w:rPr>
        <w:rStyle w:val="aa"/>
        <w:rFonts w:ascii="Times New Roman" w:hAnsi="Times New Roman"/>
        <w:sz w:val="18"/>
      </w:rPr>
    </w:pPr>
    <w:r>
      <w:rPr>
        <w:rStyle w:val="aa"/>
        <w:rFonts w:ascii="Times New Roman" w:hAnsi="Times New Roman"/>
        <w:sz w:val="18"/>
      </w:rPr>
      <w:fldChar w:fldCharType="begin"/>
    </w:r>
    <w:r>
      <w:rPr>
        <w:rStyle w:val="aa"/>
        <w:rFonts w:ascii="Times New Roman" w:hAnsi="Times New Roman"/>
        <w:sz w:val="18"/>
      </w:rPr>
      <w:instrText xml:space="preserve">PAGE  </w:instrText>
    </w:r>
    <w:r>
      <w:rPr>
        <w:rStyle w:val="aa"/>
        <w:rFonts w:ascii="Times New Roman" w:hAnsi="Times New Roman"/>
        <w:sz w:val="18"/>
      </w:rPr>
      <w:fldChar w:fldCharType="separate"/>
    </w:r>
    <w:r w:rsidR="00264A9E">
      <w:rPr>
        <w:rStyle w:val="aa"/>
        <w:rFonts w:ascii="Times New Roman" w:hAnsi="Times New Roman"/>
        <w:noProof/>
        <w:sz w:val="18"/>
      </w:rPr>
      <w:t>61</w:t>
    </w:r>
    <w:r>
      <w:rPr>
        <w:rStyle w:val="aa"/>
        <w:rFonts w:ascii="Times New Roman" w:hAnsi="Times New Roman"/>
        <w:sz w:val="18"/>
      </w:rPr>
      <w:fldChar w:fldCharType="end"/>
    </w:r>
  </w:p>
  <w:p w14:paraId="0A3ECC8C" w14:textId="77777777" w:rsidR="00AE2133" w:rsidRDefault="00AE2133">
    <w:pPr>
      <w:pStyle w:val="ab"/>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412FC" w14:textId="77777777" w:rsidR="00477013" w:rsidRDefault="00477013">
      <w:r>
        <w:separator/>
      </w:r>
    </w:p>
  </w:footnote>
  <w:footnote w:type="continuationSeparator" w:id="0">
    <w:p w14:paraId="1E06D092" w14:textId="77777777" w:rsidR="00477013" w:rsidRDefault="00477013">
      <w:r>
        <w:continuationSeparator/>
      </w:r>
    </w:p>
  </w:footnote>
  <w:footnote w:id="1">
    <w:p w14:paraId="02A41255" w14:textId="77777777" w:rsidR="00AE2133" w:rsidRDefault="00AE2133">
      <w:pPr>
        <w:pStyle w:val="a5"/>
        <w:jc w:val="both"/>
        <w:rPr>
          <w:sz w:val="18"/>
          <w:szCs w:val="16"/>
        </w:rPr>
      </w:pPr>
      <w:r>
        <w:rPr>
          <w:rStyle w:val="a6"/>
          <w:sz w:val="18"/>
        </w:rPr>
        <w:t>1</w:t>
      </w:r>
      <w:r>
        <w:rPr>
          <w:sz w:val="18"/>
          <w:szCs w:val="16"/>
        </w:rPr>
        <w:t xml:space="preserve"> Пространственную локализацию ВКА  см.: (Хан А.Н. 1998. – С. 116).</w:t>
      </w:r>
    </w:p>
  </w:footnote>
  <w:footnote w:id="2">
    <w:p w14:paraId="6B5FFE06" w14:textId="77777777" w:rsidR="00AE2133" w:rsidRDefault="00AE2133">
      <w:pPr>
        <w:pStyle w:val="a5"/>
        <w:jc w:val="both"/>
        <w:rPr>
          <w:sz w:val="18"/>
          <w:szCs w:val="16"/>
        </w:rPr>
      </w:pPr>
      <w:r>
        <w:rPr>
          <w:rStyle w:val="a6"/>
          <w:sz w:val="18"/>
        </w:rPr>
        <w:t>2</w:t>
      </w:r>
      <w:r>
        <w:rPr>
          <w:sz w:val="18"/>
          <w:szCs w:val="16"/>
        </w:rPr>
        <w:t xml:space="preserve"> Подробней о событиях 650-658 гг. см.: (Большаков О.Г., 1993. – С. 185–187; Фрай Р., 2002. – С. 328). Арабы завоевывали Джурджан и Дахистан с 630  по 716 гг. (Атагаррыев Е., 1986. – С. 14–15).</w:t>
      </w:r>
    </w:p>
  </w:footnote>
  <w:footnote w:id="3">
    <w:p w14:paraId="5CA12065" w14:textId="77777777" w:rsidR="00AE2133" w:rsidRDefault="00AE2133">
      <w:pPr>
        <w:pStyle w:val="a5"/>
        <w:jc w:val="both"/>
        <w:rPr>
          <w:sz w:val="18"/>
          <w:szCs w:val="16"/>
        </w:rPr>
      </w:pPr>
      <w:r>
        <w:rPr>
          <w:rStyle w:val="a6"/>
          <w:sz w:val="18"/>
        </w:rPr>
        <w:t>3</w:t>
      </w:r>
      <w:r>
        <w:rPr>
          <w:sz w:val="18"/>
          <w:szCs w:val="16"/>
        </w:rPr>
        <w:t xml:space="preserve"> В договоре Смоленска с Ригой, Готландом и немецкими городами от 1229 г. прямо говорится о наличии торевтики в денежном обороте Руси: «Или которые немчинь коупить съсоудъ серебряныи – дати ему от гривны ку[ну] на весцю» (Смоленские грамоты..., 1963. – С. 43). </w:t>
      </w:r>
    </w:p>
  </w:footnote>
  <w:footnote w:id="4">
    <w:p w14:paraId="2C64A8F8" w14:textId="77777777" w:rsidR="00AE2133" w:rsidRDefault="00AE2133">
      <w:pPr>
        <w:pStyle w:val="a5"/>
        <w:jc w:val="both"/>
        <w:rPr>
          <w:sz w:val="18"/>
          <w:szCs w:val="16"/>
        </w:rPr>
      </w:pPr>
      <w:r>
        <w:rPr>
          <w:rStyle w:val="a6"/>
          <w:sz w:val="18"/>
        </w:rPr>
        <w:t>4</w:t>
      </w:r>
      <w:r>
        <w:rPr>
          <w:sz w:val="18"/>
          <w:szCs w:val="16"/>
        </w:rPr>
        <w:t xml:space="preserve"> Монеты  </w:t>
      </w:r>
      <w:r>
        <w:rPr>
          <w:sz w:val="18"/>
          <w:szCs w:val="16"/>
          <w:lang w:val="en-US"/>
        </w:rPr>
        <w:t>VIII</w:t>
      </w:r>
      <w:r>
        <w:rPr>
          <w:sz w:val="18"/>
          <w:szCs w:val="16"/>
        </w:rPr>
        <w:t xml:space="preserve"> в. на Бирке представлены в погребениях конца </w:t>
      </w:r>
      <w:r>
        <w:rPr>
          <w:sz w:val="18"/>
          <w:szCs w:val="16"/>
          <w:lang w:val="en-US"/>
        </w:rPr>
        <w:t>IX</w:t>
      </w:r>
      <w:r>
        <w:rPr>
          <w:sz w:val="18"/>
          <w:szCs w:val="16"/>
        </w:rPr>
        <w:t xml:space="preserve"> в. (Сойер П.,  2002. – С. 254).</w:t>
      </w:r>
    </w:p>
  </w:footnote>
  <w:footnote w:id="5">
    <w:p w14:paraId="2CB3099D" w14:textId="77777777" w:rsidR="00AE2133" w:rsidRDefault="00AE2133">
      <w:pPr>
        <w:pStyle w:val="a5"/>
        <w:jc w:val="both"/>
        <w:rPr>
          <w:spacing w:val="6"/>
          <w:sz w:val="18"/>
          <w:szCs w:val="16"/>
        </w:rPr>
      </w:pPr>
      <w:r>
        <w:rPr>
          <w:rStyle w:val="a6"/>
          <w:spacing w:val="6"/>
          <w:sz w:val="18"/>
        </w:rPr>
        <w:t>5</w:t>
      </w:r>
      <w:r>
        <w:rPr>
          <w:spacing w:val="6"/>
          <w:sz w:val="18"/>
          <w:szCs w:val="16"/>
        </w:rPr>
        <w:t xml:space="preserve"> Монетовидные подвески из Мыдлань-шай (Янина, 1962. – С. 131), всеобщим эквивалентом не служили, как не могли выступать в этой роли их аналоги, приведенные С.А. Яниной из раскопок М. Стенбергера в Тупе – бронзовые монеты, покрытые серебряной фольгой, битые якобы в Васите в 111, 113 и 125 г.х. </w:t>
      </w:r>
    </w:p>
  </w:footnote>
  <w:footnote w:id="6">
    <w:p w14:paraId="6B848581" w14:textId="77777777" w:rsidR="00AE2133" w:rsidRDefault="00AE2133">
      <w:pPr>
        <w:pStyle w:val="a5"/>
        <w:rPr>
          <w:sz w:val="18"/>
          <w:szCs w:val="16"/>
        </w:rPr>
      </w:pPr>
      <w:r>
        <w:rPr>
          <w:rStyle w:val="a6"/>
          <w:sz w:val="18"/>
        </w:rPr>
        <w:t>6</w:t>
      </w:r>
      <w:r>
        <w:rPr>
          <w:sz w:val="18"/>
          <w:szCs w:val="16"/>
        </w:rPr>
        <w:t xml:space="preserve"> Подробней см.: Приложение 2.</w:t>
      </w:r>
    </w:p>
  </w:footnote>
  <w:footnote w:id="7">
    <w:p w14:paraId="56028BEA" w14:textId="77777777" w:rsidR="00AE2133" w:rsidRDefault="00AE2133">
      <w:pPr>
        <w:pStyle w:val="a5"/>
        <w:jc w:val="both"/>
        <w:rPr>
          <w:sz w:val="18"/>
          <w:szCs w:val="16"/>
        </w:rPr>
      </w:pPr>
      <w:r>
        <w:rPr>
          <w:rStyle w:val="a6"/>
          <w:sz w:val="18"/>
        </w:rPr>
        <w:t>7</w:t>
      </w:r>
      <w:r>
        <w:rPr>
          <w:sz w:val="18"/>
          <w:szCs w:val="16"/>
        </w:rPr>
        <w:t xml:space="preserve"> Эволюцию арабо-сасанидкого чекана </w:t>
      </w:r>
      <w:r>
        <w:rPr>
          <w:sz w:val="18"/>
          <w:szCs w:val="16"/>
          <w:lang w:val="en-US"/>
        </w:rPr>
        <w:t>VII</w:t>
      </w:r>
      <w:r>
        <w:rPr>
          <w:sz w:val="18"/>
          <w:szCs w:val="16"/>
        </w:rPr>
        <w:t xml:space="preserve"> в. в Ираке и Иране изучил А.И. Колесников (1998. – С. 165–233).</w:t>
      </w:r>
    </w:p>
  </w:footnote>
  <w:footnote w:id="8">
    <w:p w14:paraId="3ABE7922" w14:textId="77777777" w:rsidR="00AE2133" w:rsidRDefault="00AE2133">
      <w:pPr>
        <w:pStyle w:val="a5"/>
        <w:jc w:val="both"/>
        <w:rPr>
          <w:sz w:val="18"/>
          <w:szCs w:val="16"/>
        </w:rPr>
      </w:pPr>
      <w:r>
        <w:rPr>
          <w:rStyle w:val="a6"/>
          <w:sz w:val="18"/>
        </w:rPr>
        <w:t>8</w:t>
      </w:r>
      <w:r>
        <w:rPr>
          <w:sz w:val="18"/>
          <w:szCs w:val="16"/>
        </w:rPr>
        <w:t xml:space="preserve"> «Предположение, что именно 40-е годы </w:t>
      </w:r>
      <w:r>
        <w:rPr>
          <w:sz w:val="18"/>
          <w:szCs w:val="16"/>
          <w:lang w:val="en-US"/>
        </w:rPr>
        <w:t>VIII</w:t>
      </w:r>
      <w:r>
        <w:rPr>
          <w:sz w:val="18"/>
          <w:szCs w:val="16"/>
        </w:rPr>
        <w:t xml:space="preserve"> в. являются временем начала проникновения дирхема в Восточной Европу, невозможно», – пишет В.Л. Янин (1956. – С. 84), приведя  соответствующую аргументацию.</w:t>
      </w:r>
    </w:p>
  </w:footnote>
  <w:footnote w:id="9">
    <w:p w14:paraId="3839E11F" w14:textId="77777777" w:rsidR="00AE2133" w:rsidRDefault="00AE2133">
      <w:pPr>
        <w:pStyle w:val="a5"/>
        <w:jc w:val="both"/>
        <w:rPr>
          <w:spacing w:val="2"/>
          <w:sz w:val="18"/>
          <w:szCs w:val="16"/>
        </w:rPr>
      </w:pPr>
      <w:r>
        <w:rPr>
          <w:rStyle w:val="a6"/>
          <w:spacing w:val="2"/>
          <w:sz w:val="18"/>
        </w:rPr>
        <w:t>9</w:t>
      </w:r>
      <w:r>
        <w:rPr>
          <w:spacing w:val="2"/>
          <w:sz w:val="18"/>
          <w:szCs w:val="16"/>
        </w:rPr>
        <w:t xml:space="preserve"> Аналоичной методики хронологического распределения монет в кладах с куфическим дирхемом придерживался С. Болин /</w:t>
      </w:r>
      <w:r>
        <w:rPr>
          <w:spacing w:val="2"/>
          <w:sz w:val="18"/>
          <w:szCs w:val="16"/>
          <w:lang w:val="en-US"/>
        </w:rPr>
        <w:t>S</w:t>
      </w:r>
      <w:r>
        <w:rPr>
          <w:spacing w:val="2"/>
          <w:sz w:val="18"/>
          <w:szCs w:val="16"/>
        </w:rPr>
        <w:t xml:space="preserve">. </w:t>
      </w:r>
      <w:r>
        <w:rPr>
          <w:spacing w:val="2"/>
          <w:sz w:val="18"/>
          <w:szCs w:val="16"/>
          <w:lang w:val="en-US"/>
        </w:rPr>
        <w:t>Bolin</w:t>
      </w:r>
      <w:r>
        <w:rPr>
          <w:spacing w:val="2"/>
          <w:sz w:val="18"/>
          <w:szCs w:val="16"/>
        </w:rPr>
        <w:t xml:space="preserve">/ (Сойер П., 2002. – С. 296–297, табл.1). Хронологическое распределение по мусульманскому летоисчислению клада Выщегша с датой ММ 227 г.х. осуществлено Фоминым (1988. – С. 116, табл. 1, 2). </w:t>
      </w:r>
    </w:p>
  </w:footnote>
  <w:footnote w:id="10">
    <w:p w14:paraId="1F7E3EF3" w14:textId="77777777" w:rsidR="00AE2133" w:rsidRDefault="00AE2133">
      <w:pPr>
        <w:pStyle w:val="a5"/>
        <w:jc w:val="both"/>
        <w:rPr>
          <w:spacing w:val="2"/>
          <w:sz w:val="18"/>
          <w:szCs w:val="16"/>
        </w:rPr>
      </w:pPr>
      <w:r>
        <w:rPr>
          <w:rStyle w:val="a6"/>
          <w:spacing w:val="2"/>
          <w:sz w:val="18"/>
        </w:rPr>
        <w:t>10</w:t>
      </w:r>
      <w:r>
        <w:rPr>
          <w:spacing w:val="2"/>
          <w:sz w:val="18"/>
          <w:szCs w:val="16"/>
        </w:rPr>
        <w:t xml:space="preserve"> Судя по Козельскому кладу 2000 г., введенном в научный оборот Т.С. Нунаном и Р.К. Ковалевым (2003. – С. 149–161.), на 20-летие 770–780-х гг. приходится 48% монет куфического состава клада, при этом периоды 767/768–776/777 и 777/778 – 786/787 гг. по числу монет соотносятся как 1 : 3. В русских и шведских кладах начала </w:t>
      </w:r>
      <w:r>
        <w:rPr>
          <w:spacing w:val="2"/>
          <w:sz w:val="18"/>
          <w:szCs w:val="16"/>
          <w:lang w:val="en-US"/>
        </w:rPr>
        <w:t>IX</w:t>
      </w:r>
      <w:r>
        <w:rPr>
          <w:spacing w:val="2"/>
          <w:sz w:val="18"/>
          <w:szCs w:val="16"/>
        </w:rPr>
        <w:t xml:space="preserve"> в. отмечен рост числа монет, начиная с 750-х по 770-е годы, а в 780-е годы – резкий спад (Сойер П, 2002. – С. 302, 303; Фомин А.В., 1983. – С. 26, рис. 2).</w:t>
      </w:r>
    </w:p>
  </w:footnote>
  <w:footnote w:id="11">
    <w:p w14:paraId="4941BE34" w14:textId="77777777" w:rsidR="00AE2133" w:rsidRDefault="00AE2133">
      <w:pPr>
        <w:pStyle w:val="a5"/>
        <w:jc w:val="both"/>
        <w:rPr>
          <w:sz w:val="18"/>
          <w:szCs w:val="16"/>
        </w:rPr>
      </w:pPr>
      <w:r>
        <w:rPr>
          <w:rStyle w:val="a6"/>
          <w:sz w:val="18"/>
        </w:rPr>
        <w:t>11</w:t>
      </w:r>
      <w:r>
        <w:rPr>
          <w:sz w:val="18"/>
          <w:szCs w:val="16"/>
        </w:rPr>
        <w:t xml:space="preserve"> Анализируя ставший знаменитым с </w:t>
      </w:r>
      <w:r>
        <w:rPr>
          <w:sz w:val="18"/>
          <w:szCs w:val="16"/>
          <w:lang w:val="en-US"/>
        </w:rPr>
        <w:t>XVIII</w:t>
      </w:r>
      <w:r>
        <w:rPr>
          <w:sz w:val="18"/>
          <w:szCs w:val="16"/>
        </w:rPr>
        <w:t xml:space="preserve"> в. текст о призвании аврягов (НПЛ, с. 106) в современной отечественной науке были выделены, прежде всего, по данным археологии, основные племена Восточной Европы, участвующие в этом процессе (Кучкин В.А., 2003. – С. 71; Седов В.В., 1982. – 45, 10, 109, 134). Утверждение Рюрика в Киеве интегрировало власть, сделав ее наследственной, в чем ряд ученых видят одни из главных признаков государственности (Котляр Н.Ф., 1998. – С. 43).</w:t>
      </w:r>
    </w:p>
  </w:footnote>
  <w:footnote w:id="12">
    <w:p w14:paraId="7A2AA721" w14:textId="77777777" w:rsidR="00AE2133" w:rsidRDefault="00AE2133">
      <w:pPr>
        <w:pStyle w:val="a5"/>
        <w:jc w:val="both"/>
        <w:rPr>
          <w:sz w:val="18"/>
          <w:szCs w:val="16"/>
        </w:rPr>
      </w:pPr>
      <w:r>
        <w:rPr>
          <w:rStyle w:val="a6"/>
          <w:sz w:val="18"/>
        </w:rPr>
        <w:t>12</w:t>
      </w:r>
      <w:r>
        <w:rPr>
          <w:sz w:val="18"/>
          <w:szCs w:val="16"/>
        </w:rPr>
        <w:t xml:space="preserve"> Ученый убедительно показал, что дань бралась не «белами и веверицами», а белыми веверицами (Каштанов С.М., 2003. – С. 67).</w:t>
      </w:r>
    </w:p>
  </w:footnote>
  <w:footnote w:id="13">
    <w:p w14:paraId="515A9FD0" w14:textId="77777777" w:rsidR="00AE2133" w:rsidRDefault="00AE2133">
      <w:pPr>
        <w:pStyle w:val="a5"/>
        <w:jc w:val="both"/>
        <w:rPr>
          <w:sz w:val="18"/>
          <w:szCs w:val="16"/>
        </w:rPr>
      </w:pPr>
      <w:r>
        <w:rPr>
          <w:rStyle w:val="a6"/>
          <w:sz w:val="18"/>
        </w:rPr>
        <w:t>13</w:t>
      </w:r>
      <w:r>
        <w:rPr>
          <w:sz w:val="18"/>
          <w:szCs w:val="16"/>
        </w:rPr>
        <w:t xml:space="preserve"> Нубия еще в дренеегипетский период, особенно с Нового царства, поставляла в Египет ископаемое золото. Рудники находились между Нилом и Красным морем (Пиотровский Б.Б., 1983. – С. 17, 24).</w:t>
      </w:r>
    </w:p>
  </w:footnote>
  <w:footnote w:id="14">
    <w:p w14:paraId="1CB1CE19" w14:textId="77777777" w:rsidR="00AE2133" w:rsidRDefault="00AE2133">
      <w:pPr>
        <w:pStyle w:val="a5"/>
        <w:jc w:val="both"/>
        <w:rPr>
          <w:sz w:val="18"/>
          <w:szCs w:val="16"/>
        </w:rPr>
      </w:pPr>
      <w:r>
        <w:rPr>
          <w:rStyle w:val="a6"/>
          <w:sz w:val="18"/>
        </w:rPr>
        <w:t>14</w:t>
      </w:r>
      <w:r>
        <w:rPr>
          <w:sz w:val="18"/>
          <w:szCs w:val="16"/>
        </w:rPr>
        <w:t xml:space="preserve"> Данный клад является надежной основой для изучения денежно-весовых систем </w:t>
      </w:r>
      <w:r>
        <w:rPr>
          <w:sz w:val="18"/>
          <w:szCs w:val="16"/>
          <w:lang w:val="en-US"/>
        </w:rPr>
        <w:t>XI</w:t>
      </w:r>
      <w:r>
        <w:rPr>
          <w:sz w:val="18"/>
          <w:szCs w:val="16"/>
        </w:rPr>
        <w:t xml:space="preserve"> в., а также представляет ценность для изучения и датировки других плохо сохранившихся депозитов. Подробней см. Приложение 1.</w:t>
      </w:r>
    </w:p>
  </w:footnote>
  <w:footnote w:id="15">
    <w:p w14:paraId="6C3C5F42" w14:textId="77777777" w:rsidR="00AE2133" w:rsidRDefault="00AE2133">
      <w:pPr>
        <w:pStyle w:val="a5"/>
        <w:jc w:val="both"/>
        <w:rPr>
          <w:sz w:val="18"/>
          <w:szCs w:val="16"/>
        </w:rPr>
      </w:pPr>
      <w:r>
        <w:rPr>
          <w:rStyle w:val="a6"/>
          <w:sz w:val="18"/>
        </w:rPr>
        <w:t>15</w:t>
      </w:r>
      <w:r>
        <w:rPr>
          <w:sz w:val="18"/>
          <w:szCs w:val="16"/>
        </w:rPr>
        <w:t xml:space="preserve"> К. Вилкуна полагает, что этноним «пермь» мог возникнуть не как этноним, а как обозначение бродячих торговцев</w:t>
      </w:r>
    </w:p>
  </w:footnote>
  <w:footnote w:id="16">
    <w:p w14:paraId="631F606F" w14:textId="77777777" w:rsidR="00AE2133" w:rsidRDefault="00AE2133">
      <w:pPr>
        <w:pStyle w:val="a5"/>
        <w:jc w:val="both"/>
        <w:rPr>
          <w:spacing w:val="-2"/>
          <w:sz w:val="18"/>
          <w:szCs w:val="16"/>
        </w:rPr>
      </w:pPr>
      <w:r>
        <w:rPr>
          <w:rStyle w:val="a6"/>
          <w:spacing w:val="-2"/>
          <w:sz w:val="18"/>
        </w:rPr>
        <w:t>16</w:t>
      </w:r>
      <w:r>
        <w:rPr>
          <w:spacing w:val="-2"/>
          <w:sz w:val="18"/>
          <w:szCs w:val="16"/>
        </w:rPr>
        <w:t xml:space="preserve">  В 1870 г. ученик гимназии Максимович подарил Вятскому публичному музею 77 монет из клада, откуда как «отозвался» смотритель, они были унесены посетителями. См.: Отчет о состоянии Вятской губернской Публичной библиотеки за 1870 г. Вятка, 1870. – с.15. Внимание автора обратила Е.Ю. Мокерова (1995. – С. 45, № 4 и 48, № 15). По-видимому, это фрагменты клада </w:t>
      </w:r>
      <w:r>
        <w:rPr>
          <w:spacing w:val="-2"/>
          <w:sz w:val="18"/>
          <w:szCs w:val="16"/>
          <w:lang w:val="en-US"/>
        </w:rPr>
        <w:t>IX</w:t>
      </w:r>
      <w:r>
        <w:rPr>
          <w:spacing w:val="-2"/>
          <w:sz w:val="18"/>
          <w:szCs w:val="16"/>
        </w:rPr>
        <w:t xml:space="preserve"> в. (Иванов А.Г., 1998. – С. 111).</w:t>
      </w:r>
    </w:p>
  </w:footnote>
  <w:footnote w:id="17">
    <w:p w14:paraId="45C36D19" w14:textId="77777777" w:rsidR="00AE2133" w:rsidRDefault="00AE2133">
      <w:pPr>
        <w:pStyle w:val="a5"/>
        <w:jc w:val="both"/>
        <w:rPr>
          <w:sz w:val="18"/>
          <w:szCs w:val="16"/>
        </w:rPr>
      </w:pPr>
      <w:r>
        <w:rPr>
          <w:rStyle w:val="a6"/>
          <w:sz w:val="18"/>
        </w:rPr>
        <w:t>1</w:t>
      </w:r>
      <w:r>
        <w:rPr>
          <w:sz w:val="18"/>
          <w:szCs w:val="16"/>
        </w:rPr>
        <w:t xml:space="preserve"> Возможно, ММ клада имеет дату 304/916 г., поскольку дата 307 на андерабской монете прочитана В.Г. Тизенгаузеном с вопросом. В этом случае  клад имеет 4 ММ 304 г.х. 2 – аш-Шаш;  и по одному чекан Самарканда и Андераба (РА  ИИМК. Ф.1, 1888, Д.14). См. след. очерк.</w:t>
      </w:r>
    </w:p>
  </w:footnote>
  <w:footnote w:id="18">
    <w:p w14:paraId="753D2BB3" w14:textId="77777777" w:rsidR="00AE2133" w:rsidRDefault="00AE2133">
      <w:pPr>
        <w:pStyle w:val="a5"/>
        <w:jc w:val="both"/>
        <w:rPr>
          <w:sz w:val="18"/>
          <w:szCs w:val="16"/>
        </w:rPr>
      </w:pPr>
      <w:r>
        <w:rPr>
          <w:rStyle w:val="a6"/>
          <w:sz w:val="18"/>
        </w:rPr>
        <w:t>2</w:t>
      </w:r>
      <w:r>
        <w:rPr>
          <w:sz w:val="18"/>
          <w:szCs w:val="16"/>
        </w:rPr>
        <w:t xml:space="preserve"> См. также работу А.В. Фомина (1988. – С. 187–196).</w:t>
      </w:r>
    </w:p>
  </w:footnote>
  <w:footnote w:id="19">
    <w:p w14:paraId="46C26724" w14:textId="77777777" w:rsidR="00AE2133" w:rsidRDefault="00AE2133">
      <w:pPr>
        <w:pStyle w:val="a5"/>
        <w:jc w:val="both"/>
        <w:rPr>
          <w:sz w:val="18"/>
          <w:szCs w:val="16"/>
        </w:rPr>
      </w:pPr>
      <w:r>
        <w:rPr>
          <w:rStyle w:val="a6"/>
          <w:sz w:val="18"/>
        </w:rPr>
        <w:t>3</w:t>
      </w:r>
      <w:r>
        <w:rPr>
          <w:sz w:val="18"/>
          <w:szCs w:val="16"/>
        </w:rPr>
        <w:t xml:space="preserve"> См. также  клад  Самарканд 1928  г. (Кочнев Б.Д., 1996, № 7)..</w:t>
      </w:r>
    </w:p>
  </w:footnote>
  <w:footnote w:id="20">
    <w:p w14:paraId="2AFBA652" w14:textId="77777777" w:rsidR="00AE2133" w:rsidRDefault="00AE2133">
      <w:pPr>
        <w:pStyle w:val="a5"/>
        <w:jc w:val="both"/>
        <w:rPr>
          <w:sz w:val="18"/>
          <w:szCs w:val="16"/>
        </w:rPr>
      </w:pPr>
      <w:r>
        <w:rPr>
          <w:rStyle w:val="a6"/>
          <w:sz w:val="18"/>
        </w:rPr>
        <w:t>4</w:t>
      </w:r>
      <w:r>
        <w:rPr>
          <w:sz w:val="18"/>
          <w:szCs w:val="16"/>
        </w:rPr>
        <w:t xml:space="preserve">  Наличие двух и более числа младших монет в кладах куфических монет IX–Х вв. редкостью не является. Подобный феномен фиксируется нумизматами, как в кладах Восточной Европы, так и в кладах Средней Азии.</w:t>
      </w:r>
    </w:p>
  </w:footnote>
  <w:footnote w:id="21">
    <w:p w14:paraId="13287441" w14:textId="77777777" w:rsidR="00AE2133" w:rsidRDefault="00AE2133">
      <w:pPr>
        <w:pStyle w:val="a5"/>
        <w:jc w:val="both"/>
        <w:rPr>
          <w:sz w:val="18"/>
          <w:szCs w:val="16"/>
        </w:rPr>
      </w:pPr>
      <w:r>
        <w:rPr>
          <w:rStyle w:val="a6"/>
          <w:sz w:val="18"/>
        </w:rPr>
        <w:t>5</w:t>
      </w:r>
      <w:r>
        <w:rPr>
          <w:sz w:val="18"/>
          <w:szCs w:val="16"/>
        </w:rPr>
        <w:t xml:space="preserve">  Клады Банбаши 1948 г. /Рис. 1, </w:t>
      </w:r>
      <w:r>
        <w:rPr>
          <w:i/>
          <w:sz w:val="18"/>
          <w:szCs w:val="16"/>
        </w:rPr>
        <w:t>10</w:t>
      </w:r>
      <w:r>
        <w:rPr>
          <w:sz w:val="18"/>
          <w:szCs w:val="16"/>
        </w:rPr>
        <w:t xml:space="preserve">/ и Яз-Кираги 1958 г. Оба с датой мл.монеты 342/953–4 гг. </w:t>
      </w:r>
    </w:p>
  </w:footnote>
  <w:footnote w:id="22">
    <w:p w14:paraId="12009AA3" w14:textId="77777777" w:rsidR="00AE2133" w:rsidRDefault="00AE2133">
      <w:pPr>
        <w:pStyle w:val="a5"/>
        <w:jc w:val="both"/>
        <w:rPr>
          <w:sz w:val="18"/>
          <w:szCs w:val="16"/>
        </w:rPr>
      </w:pPr>
      <w:r>
        <w:rPr>
          <w:rStyle w:val="a6"/>
          <w:sz w:val="18"/>
        </w:rPr>
        <w:t>6</w:t>
      </w:r>
      <w:r>
        <w:rPr>
          <w:sz w:val="18"/>
          <w:szCs w:val="16"/>
        </w:rPr>
        <w:t xml:space="preserve"> В кладе Банбаши саманидская монета монетным двором аш-Шаша не представлена, поступая в целом с рынка ал-Мухамадии (Пахомов Е.А., 1966. – С. 36). </w:t>
      </w:r>
    </w:p>
  </w:footnote>
  <w:footnote w:id="23">
    <w:p w14:paraId="3C391B75" w14:textId="77777777" w:rsidR="00AE2133" w:rsidRDefault="00AE2133">
      <w:pPr>
        <w:pStyle w:val="a5"/>
        <w:jc w:val="both"/>
        <w:rPr>
          <w:sz w:val="18"/>
          <w:szCs w:val="16"/>
        </w:rPr>
      </w:pPr>
      <w:r>
        <w:rPr>
          <w:rStyle w:val="a6"/>
          <w:sz w:val="18"/>
        </w:rPr>
        <w:t>7</w:t>
      </w:r>
      <w:r>
        <w:rPr>
          <w:sz w:val="18"/>
          <w:szCs w:val="16"/>
        </w:rPr>
        <w:t xml:space="preserve"> Число монет, которые можно было бы распределить, составляет 11. Дирхем с трудночитаемой датой 367 или 377 г.х., битой от имени Фахр-ад Даулы, отнесен к чекану последнего на основании монет Чистопольского клада, где дирхемы данного эмира представлены в хронологическом диапазоне 375/385 – 384/995 г.х. (Лихачев А.Ф., 1887. №№ 24–30).</w:t>
      </w:r>
    </w:p>
  </w:footnote>
  <w:footnote w:id="24">
    <w:p w14:paraId="75DF32D7" w14:textId="77777777" w:rsidR="00AE2133" w:rsidRDefault="00AE2133">
      <w:pPr>
        <w:pStyle w:val="a5"/>
        <w:jc w:val="both"/>
        <w:rPr>
          <w:spacing w:val="-4"/>
          <w:sz w:val="18"/>
          <w:szCs w:val="16"/>
        </w:rPr>
      </w:pPr>
      <w:r>
        <w:rPr>
          <w:rStyle w:val="a6"/>
          <w:spacing w:val="-4"/>
          <w:sz w:val="18"/>
        </w:rPr>
        <w:t>8</w:t>
      </w:r>
      <w:r>
        <w:rPr>
          <w:spacing w:val="-4"/>
          <w:sz w:val="18"/>
          <w:szCs w:val="16"/>
        </w:rPr>
        <w:t xml:space="preserve"> Не будем исключать и того обстоятельства, что при этом по волжскому пути могли пройти и подхваченные новыми бувейхидскими монетами и дирхемы Маверанахра.</w:t>
      </w:r>
    </w:p>
  </w:footnote>
  <w:footnote w:id="25">
    <w:p w14:paraId="0EAE4C0F" w14:textId="77777777" w:rsidR="00AE2133" w:rsidRDefault="00AE2133">
      <w:pPr>
        <w:jc w:val="both"/>
        <w:rPr>
          <w:sz w:val="18"/>
        </w:rPr>
      </w:pPr>
      <w:r>
        <w:rPr>
          <w:rStyle w:val="a6"/>
          <w:sz w:val="20"/>
          <w:szCs w:val="20"/>
        </w:rPr>
        <w:t>9</w:t>
      </w:r>
      <w:r>
        <w:rPr>
          <w:sz w:val="18"/>
        </w:rPr>
        <w:t xml:space="preserve"> В кладе также присутствуют еще 2 булгарские монеты, определению не поддающиеся. Кроме того, отмечено наличие редкой тифлиской монеты 314/926–927 гг, и Е.А. Пахомовым было высказано сомнение о проследовании её через Дербенд. Недавно А.А. Молчанов опубликовал дирхем, найденный в 1970 г. в Новгороде, позволивший отодвинуть верхнюю хронологическую границу правления тифлиского эмира Джафара ибн Мансура по меньшей мере до 374/984–985 гг. (Молчанов А.А., 2001. – С. 58–60).</w:t>
      </w:r>
    </w:p>
  </w:footnote>
  <w:footnote w:id="26">
    <w:p w14:paraId="4FA888EE" w14:textId="77777777" w:rsidR="00AE2133" w:rsidRDefault="00AE2133">
      <w:pPr>
        <w:pStyle w:val="a5"/>
        <w:rPr>
          <w:sz w:val="18"/>
          <w:szCs w:val="16"/>
        </w:rPr>
      </w:pPr>
      <w:r>
        <w:rPr>
          <w:rStyle w:val="a6"/>
        </w:rPr>
        <w:t>1</w:t>
      </w:r>
      <w:r>
        <w:rPr>
          <w:sz w:val="18"/>
          <w:szCs w:val="16"/>
        </w:rPr>
        <w:t xml:space="preserve"> Метрологическую интерпретацию данного веса см.: Приложение 2.</w:t>
      </w:r>
    </w:p>
  </w:footnote>
  <w:footnote w:id="27">
    <w:p w14:paraId="0F99F61E" w14:textId="77777777" w:rsidR="00AE2133" w:rsidRDefault="00AE2133">
      <w:pPr>
        <w:pStyle w:val="a5"/>
        <w:spacing w:line="180" w:lineRule="exact"/>
        <w:jc w:val="both"/>
        <w:rPr>
          <w:spacing w:val="-6"/>
          <w:sz w:val="18"/>
          <w:szCs w:val="16"/>
        </w:rPr>
      </w:pPr>
      <w:r>
        <w:rPr>
          <w:rStyle w:val="a6"/>
          <w:spacing w:val="-6"/>
          <w:sz w:val="18"/>
        </w:rPr>
        <w:t>2</w:t>
      </w:r>
      <w:r>
        <w:rPr>
          <w:spacing w:val="-6"/>
          <w:sz w:val="18"/>
          <w:szCs w:val="16"/>
        </w:rPr>
        <w:t xml:space="preserve"> Первичные архивные документы, обстоятельства находки и литературу, посвященную данному памятнику денежного обращения привела Е.Ю. Мокерова (1995. – С. 47. № 8). </w:t>
      </w:r>
    </w:p>
  </w:footnote>
  <w:footnote w:id="28">
    <w:p w14:paraId="2083A6B4" w14:textId="77777777" w:rsidR="00AE2133" w:rsidRDefault="00AE2133">
      <w:pPr>
        <w:pStyle w:val="a5"/>
        <w:jc w:val="both"/>
        <w:rPr>
          <w:sz w:val="18"/>
          <w:szCs w:val="16"/>
        </w:rPr>
      </w:pPr>
      <w:r>
        <w:rPr>
          <w:rStyle w:val="a6"/>
          <w:sz w:val="18"/>
        </w:rPr>
        <w:t>3</w:t>
      </w:r>
      <w:r>
        <w:rPr>
          <w:sz w:val="18"/>
          <w:szCs w:val="16"/>
        </w:rPr>
        <w:t xml:space="preserve"> Специально изучив денежное обращение в Саманидской Средней Азии. Е.А. Давидович, обнаружила высокопробное серебро, чеканенное на монетных дворах аш-Шаша и Самарканд в период до 331/342 г., имевшее высокую пробу 920°, что и соответствовало по ее мнению дирхемам-исмаили письменных источников (Давидович Е.А., 1969. – С. 115).</w:t>
      </w:r>
    </w:p>
  </w:footnote>
  <w:footnote w:id="29">
    <w:p w14:paraId="759F1E01" w14:textId="77777777" w:rsidR="00AE2133" w:rsidRDefault="00AE2133">
      <w:pPr>
        <w:pStyle w:val="a5"/>
        <w:jc w:val="both"/>
        <w:rPr>
          <w:sz w:val="18"/>
          <w:szCs w:val="16"/>
        </w:rPr>
      </w:pPr>
      <w:r>
        <w:rPr>
          <w:rStyle w:val="a6"/>
          <w:sz w:val="18"/>
        </w:rPr>
        <w:t>4</w:t>
      </w:r>
      <w:r>
        <w:rPr>
          <w:sz w:val="18"/>
          <w:szCs w:val="16"/>
        </w:rPr>
        <w:t xml:space="preserve"> Согласно последней сводке историка-нумизмата Т. Нунана, из 176 кладов, выпавших на территории Европейской России с 900 по 1025 гг., в начальный период с 900–924 гг. было зафиксировано 17% всех кладов, т.е. 19 кладов со 14226 монетами (</w:t>
      </w:r>
      <w:r>
        <w:rPr>
          <w:sz w:val="18"/>
          <w:szCs w:val="16"/>
          <w:lang w:val="en-US"/>
        </w:rPr>
        <w:t>Noonan</w:t>
      </w:r>
      <w:r>
        <w:rPr>
          <w:sz w:val="18"/>
          <w:szCs w:val="16"/>
        </w:rPr>
        <w:t xml:space="preserve"> </w:t>
      </w:r>
      <w:r>
        <w:rPr>
          <w:sz w:val="18"/>
          <w:szCs w:val="16"/>
          <w:lang w:val="en-US"/>
        </w:rPr>
        <w:t>Th</w:t>
      </w:r>
      <w:r>
        <w:rPr>
          <w:sz w:val="18"/>
          <w:szCs w:val="16"/>
        </w:rPr>
        <w:t>.</w:t>
      </w:r>
      <w:r>
        <w:rPr>
          <w:sz w:val="18"/>
          <w:szCs w:val="16"/>
          <w:lang w:val="en-US"/>
        </w:rPr>
        <w:t>S</w:t>
      </w:r>
      <w:r>
        <w:rPr>
          <w:sz w:val="18"/>
          <w:szCs w:val="16"/>
        </w:rPr>
        <w:t>., 2000. – С. 393).</w:t>
      </w:r>
    </w:p>
  </w:footnote>
  <w:footnote w:id="30">
    <w:p w14:paraId="744F0BAA" w14:textId="77777777" w:rsidR="00AE2133" w:rsidRDefault="00AE2133">
      <w:pPr>
        <w:jc w:val="both"/>
        <w:rPr>
          <w:sz w:val="18"/>
        </w:rPr>
      </w:pPr>
      <w:r>
        <w:rPr>
          <w:rStyle w:val="a6"/>
          <w:sz w:val="18"/>
          <w:szCs w:val="20"/>
        </w:rPr>
        <w:t>5</w:t>
      </w:r>
      <w:r>
        <w:rPr>
          <w:sz w:val="18"/>
        </w:rPr>
        <w:t xml:space="preserve">  В кладе выделяются также монеты № 125 описи Бухара 294 г.х., № 128 – Ферван (?) /или Казвин/ 295 г.х. №№ 328 Мерв 300 г.х. № 164 Эль-Хутталь 296 г.х. по определению Тизенгаузена не издан. </w:t>
      </w:r>
    </w:p>
  </w:footnote>
  <w:footnote w:id="31">
    <w:p w14:paraId="177F69FA" w14:textId="77777777" w:rsidR="00AE2133" w:rsidRDefault="00AE2133">
      <w:pPr>
        <w:pStyle w:val="a5"/>
        <w:jc w:val="both"/>
        <w:rPr>
          <w:sz w:val="18"/>
          <w:szCs w:val="16"/>
        </w:rPr>
      </w:pPr>
      <w:r>
        <w:rPr>
          <w:rStyle w:val="a6"/>
          <w:sz w:val="18"/>
        </w:rPr>
        <w:t>7</w:t>
      </w:r>
      <w:r>
        <w:rPr>
          <w:sz w:val="18"/>
          <w:szCs w:val="16"/>
        </w:rPr>
        <w:t xml:space="preserve"> Подробнее Мерв на монетных легендах см.: (</w:t>
      </w:r>
      <w:r>
        <w:rPr>
          <w:sz w:val="18"/>
          <w:szCs w:val="16"/>
          <w:lang w:val="en-US"/>
        </w:rPr>
        <w:t>Zambaur</w:t>
      </w:r>
      <w:r>
        <w:rPr>
          <w:sz w:val="18"/>
          <w:szCs w:val="16"/>
        </w:rPr>
        <w:t xml:space="preserve"> </w:t>
      </w:r>
      <w:r>
        <w:rPr>
          <w:sz w:val="18"/>
          <w:szCs w:val="16"/>
          <w:lang w:val="en-US"/>
        </w:rPr>
        <w:t>E</w:t>
      </w:r>
      <w:r>
        <w:rPr>
          <w:sz w:val="18"/>
          <w:szCs w:val="16"/>
        </w:rPr>
        <w:t xml:space="preserve">., 1968. – </w:t>
      </w:r>
      <w:r>
        <w:rPr>
          <w:sz w:val="18"/>
          <w:szCs w:val="16"/>
          <w:lang w:val="en-US"/>
        </w:rPr>
        <w:t>S</w:t>
      </w:r>
      <w:r>
        <w:rPr>
          <w:sz w:val="18"/>
          <w:szCs w:val="16"/>
        </w:rPr>
        <w:t>. 238–239).</w:t>
      </w:r>
    </w:p>
  </w:footnote>
  <w:footnote w:id="32">
    <w:p w14:paraId="0E1160FC" w14:textId="77777777" w:rsidR="00AE2133" w:rsidRDefault="00AE2133">
      <w:pPr>
        <w:pStyle w:val="a5"/>
        <w:jc w:val="both"/>
        <w:rPr>
          <w:spacing w:val="-2"/>
          <w:sz w:val="18"/>
          <w:szCs w:val="16"/>
        </w:rPr>
      </w:pPr>
      <w:r>
        <w:rPr>
          <w:rStyle w:val="a6"/>
          <w:spacing w:val="-2"/>
          <w:sz w:val="18"/>
        </w:rPr>
        <w:t>8</w:t>
      </w:r>
      <w:r>
        <w:rPr>
          <w:spacing w:val="-2"/>
          <w:sz w:val="18"/>
          <w:szCs w:val="16"/>
        </w:rPr>
        <w:t xml:space="preserve"> В западной историографии участников походов обычно называют </w:t>
      </w:r>
      <w:r>
        <w:rPr>
          <w:spacing w:val="-2"/>
          <w:sz w:val="18"/>
          <w:szCs w:val="16"/>
          <w:lang w:val="en-US"/>
        </w:rPr>
        <w:t>Viking</w:t>
      </w:r>
      <w:r>
        <w:rPr>
          <w:spacing w:val="-2"/>
          <w:sz w:val="18"/>
          <w:szCs w:val="16"/>
        </w:rPr>
        <w:t xml:space="preserve"> </w:t>
      </w:r>
      <w:r>
        <w:rPr>
          <w:spacing w:val="-2"/>
          <w:sz w:val="18"/>
          <w:szCs w:val="16"/>
          <w:lang w:val="en-US"/>
        </w:rPr>
        <w:t>Rus</w:t>
      </w:r>
      <w:r>
        <w:rPr>
          <w:spacing w:val="-2"/>
          <w:sz w:val="18"/>
          <w:szCs w:val="16"/>
        </w:rPr>
        <w:t>. Д.Е. Мишин, опираясь на достижения нумизматики, связанные с «серебряным кризисом» 960-х гг., показал существование двух периодов в истории работорговли в Х в. на волжском и сухопутном направлениях (Мишин Д.Е., 2002. – С. 178–179).</w:t>
      </w:r>
    </w:p>
  </w:footnote>
  <w:footnote w:id="33">
    <w:p w14:paraId="4BC249C3" w14:textId="77777777" w:rsidR="00AE2133" w:rsidRDefault="00AE2133">
      <w:pPr>
        <w:pStyle w:val="a5"/>
        <w:jc w:val="both"/>
        <w:rPr>
          <w:sz w:val="18"/>
          <w:szCs w:val="16"/>
        </w:rPr>
      </w:pPr>
      <w:r>
        <w:rPr>
          <w:rStyle w:val="a6"/>
          <w:sz w:val="18"/>
        </w:rPr>
        <w:t>9</w:t>
      </w:r>
      <w:r>
        <w:rPr>
          <w:sz w:val="18"/>
          <w:szCs w:val="16"/>
        </w:rPr>
        <w:t xml:space="preserve"> Подробней о Муроме см.: (Кучкин В.А., 1995. – С. 88–89).</w:t>
      </w:r>
    </w:p>
  </w:footnote>
  <w:footnote w:id="34">
    <w:p w14:paraId="779489BD" w14:textId="77777777" w:rsidR="00AE2133" w:rsidRDefault="00AE2133">
      <w:pPr>
        <w:pStyle w:val="a5"/>
        <w:jc w:val="both"/>
        <w:rPr>
          <w:sz w:val="18"/>
          <w:szCs w:val="16"/>
        </w:rPr>
      </w:pPr>
      <w:r>
        <w:rPr>
          <w:rStyle w:val="a6"/>
          <w:sz w:val="18"/>
        </w:rPr>
        <w:t>10</w:t>
      </w:r>
      <w:r>
        <w:rPr>
          <w:sz w:val="18"/>
          <w:szCs w:val="16"/>
        </w:rPr>
        <w:t xml:space="preserve"> В этой связи невольно возникает вопрос о времени, когда могло произойти паритеное соотношение монет шашской и самаркандской чеканок. Таковой выделяется в период 318-321/920-933 гг., когда каждый монетный двор представлен по 138–139 денежных единиц, что в сумме составляет по 553 монеты каждого монетного двора.</w:t>
      </w:r>
    </w:p>
  </w:footnote>
  <w:footnote w:id="35">
    <w:p w14:paraId="187517F1" w14:textId="77777777" w:rsidR="00AE2133" w:rsidRDefault="00AE2133">
      <w:pPr>
        <w:pStyle w:val="a5"/>
        <w:jc w:val="both"/>
        <w:rPr>
          <w:sz w:val="18"/>
          <w:szCs w:val="16"/>
        </w:rPr>
      </w:pPr>
      <w:r>
        <w:rPr>
          <w:rStyle w:val="a6"/>
          <w:sz w:val="18"/>
        </w:rPr>
        <w:t>11</w:t>
      </w:r>
      <w:r>
        <w:rPr>
          <w:sz w:val="18"/>
          <w:szCs w:val="16"/>
        </w:rPr>
        <w:t xml:space="preserve"> Авторство Н.П. Баэура в данной работе установил недавно П.Г. Гайдуков (2002. – С. 65–72).</w:t>
      </w:r>
    </w:p>
  </w:footnote>
  <w:footnote w:id="36">
    <w:p w14:paraId="5F242AD3" w14:textId="77777777" w:rsidR="00AE2133" w:rsidRDefault="00AE2133">
      <w:pPr>
        <w:pStyle w:val="a5"/>
        <w:jc w:val="both"/>
        <w:rPr>
          <w:sz w:val="18"/>
          <w:szCs w:val="16"/>
        </w:rPr>
      </w:pPr>
      <w:r>
        <w:rPr>
          <w:rStyle w:val="a6"/>
          <w:sz w:val="18"/>
        </w:rPr>
        <w:t>12</w:t>
      </w:r>
      <w:r>
        <w:rPr>
          <w:sz w:val="18"/>
          <w:szCs w:val="16"/>
        </w:rPr>
        <w:t xml:space="preserve"> Автор, пользуясь, случаем выражает искреннюю признательность И.Г. Добровольскому и Г.Б. Шагуриной за возможность ознакомиться с материалами новой топографии кладов.</w:t>
      </w:r>
    </w:p>
  </w:footnote>
  <w:footnote w:id="37">
    <w:p w14:paraId="098BDC4A" w14:textId="77777777" w:rsidR="00AE2133" w:rsidRDefault="00AE2133">
      <w:pPr>
        <w:jc w:val="both"/>
        <w:rPr>
          <w:sz w:val="18"/>
          <w:szCs w:val="16"/>
        </w:rPr>
      </w:pPr>
      <w:r>
        <w:rPr>
          <w:rStyle w:val="a6"/>
          <w:sz w:val="18"/>
          <w:szCs w:val="20"/>
        </w:rPr>
        <w:t>13</w:t>
      </w:r>
      <w:r>
        <w:rPr>
          <w:sz w:val="18"/>
          <w:szCs w:val="16"/>
        </w:rPr>
        <w:t xml:space="preserve"> Отметим наличие в кладе в части разошедшейся по рукам 2 имитаций, битые в 295 и 296 гг. Говоря о чекане волжских булгар, С. Франклин и Дж. Шепард справедливо полагают, что местный чекан свидетельствует о достаточно высоком уровне политической организации (</w:t>
      </w:r>
      <w:r>
        <w:rPr>
          <w:sz w:val="18"/>
          <w:szCs w:val="16"/>
          <w:lang w:val="en-US"/>
        </w:rPr>
        <w:t>Franklin</w:t>
      </w:r>
      <w:r>
        <w:rPr>
          <w:sz w:val="18"/>
          <w:szCs w:val="16"/>
        </w:rPr>
        <w:t xml:space="preserve"> </w:t>
      </w:r>
      <w:r>
        <w:rPr>
          <w:sz w:val="18"/>
          <w:szCs w:val="16"/>
          <w:lang w:val="en-US"/>
        </w:rPr>
        <w:t>S</w:t>
      </w:r>
      <w:r>
        <w:rPr>
          <w:sz w:val="18"/>
          <w:szCs w:val="16"/>
        </w:rPr>
        <w:t xml:space="preserve">., </w:t>
      </w:r>
      <w:r>
        <w:rPr>
          <w:sz w:val="18"/>
          <w:szCs w:val="16"/>
          <w:lang w:val="en-US"/>
        </w:rPr>
        <w:t>Shepard</w:t>
      </w:r>
      <w:r>
        <w:rPr>
          <w:sz w:val="18"/>
          <w:szCs w:val="16"/>
        </w:rPr>
        <w:t xml:space="preserve"> </w:t>
      </w:r>
      <w:r>
        <w:rPr>
          <w:sz w:val="18"/>
          <w:szCs w:val="16"/>
          <w:lang w:val="en-US"/>
        </w:rPr>
        <w:t>J</w:t>
      </w:r>
      <w:r>
        <w:rPr>
          <w:sz w:val="18"/>
          <w:szCs w:val="16"/>
        </w:rPr>
        <w:t xml:space="preserve">. 1998. – Р. 63). Помимо упомянутого чекана на территории Восточной Европы известны местные чеканы Хазарии, а также приведенные здесь имитации куфическим монетам конца </w:t>
      </w:r>
      <w:r>
        <w:rPr>
          <w:sz w:val="18"/>
          <w:szCs w:val="16"/>
          <w:lang w:val="en-US"/>
        </w:rPr>
        <w:t>VIII</w:t>
      </w:r>
      <w:r>
        <w:rPr>
          <w:sz w:val="18"/>
          <w:szCs w:val="16"/>
        </w:rPr>
        <w:t xml:space="preserve"> – начала Х вв. В кладах Восточной Европы местные чеканы выполняют роль хронологических индикаторов. Они позволяют судить о скорости прохождения монетных потоков через места их эмиссий и с их помощью возможно синхронизировать различные кладовые комплексы (Хан Н.А., 2002. – С. 62).</w:t>
      </w:r>
    </w:p>
  </w:footnote>
  <w:footnote w:id="38">
    <w:p w14:paraId="558EAB1E" w14:textId="77777777" w:rsidR="00AE2133" w:rsidRDefault="00AE2133">
      <w:pPr>
        <w:pStyle w:val="a5"/>
        <w:jc w:val="both"/>
        <w:rPr>
          <w:sz w:val="18"/>
          <w:szCs w:val="16"/>
        </w:rPr>
      </w:pPr>
      <w:r>
        <w:rPr>
          <w:rStyle w:val="a6"/>
          <w:sz w:val="18"/>
        </w:rPr>
        <w:t>14</w:t>
      </w:r>
      <w:r>
        <w:rPr>
          <w:sz w:val="18"/>
          <w:szCs w:val="16"/>
        </w:rPr>
        <w:t xml:space="preserve"> Археологические свидетельства прямых связей населения Оки и Камы в свое время приводил А.А. Спицын (Спицын А.А., 1901).</w:t>
      </w:r>
    </w:p>
  </w:footnote>
  <w:footnote w:id="39">
    <w:p w14:paraId="5D478C7E" w14:textId="77777777" w:rsidR="00AE2133" w:rsidRDefault="00AE2133">
      <w:pPr>
        <w:pStyle w:val="a5"/>
        <w:jc w:val="both"/>
        <w:rPr>
          <w:spacing w:val="-4"/>
          <w:sz w:val="18"/>
          <w:szCs w:val="16"/>
        </w:rPr>
      </w:pPr>
      <w:r>
        <w:rPr>
          <w:rStyle w:val="a6"/>
          <w:spacing w:val="-4"/>
          <w:sz w:val="18"/>
        </w:rPr>
        <w:t>15</w:t>
      </w:r>
      <w:r>
        <w:rPr>
          <w:spacing w:val="-4"/>
          <w:sz w:val="18"/>
          <w:szCs w:val="16"/>
        </w:rPr>
        <w:t xml:space="preserve"> Отметим Горбуновский клад на верхнем Прикамье Х в. из Чердынского района 1943 г. Пермской обл., состоящий из 216 монет (Кропоткин В.В., 1971. – С. 83. № 67), Аниковский клад и клад в Верхотурье 909 г. (Янин В.Л., 1956. – С. 120. №№ 54, 55). См. также находки куфических монет из Заполярного Урала, происходящие из м. Хэйбидю – самой северо-восточной точки земного шара (Макаров Н.А., 1997. – С. 34, 36. № 48).</w:t>
      </w:r>
    </w:p>
  </w:footnote>
  <w:footnote w:id="40">
    <w:p w14:paraId="1CE59B83" w14:textId="77777777" w:rsidR="00AE2133" w:rsidRDefault="00AE2133">
      <w:pPr>
        <w:pStyle w:val="a5"/>
        <w:jc w:val="both"/>
        <w:rPr>
          <w:sz w:val="18"/>
          <w:szCs w:val="16"/>
        </w:rPr>
      </w:pPr>
      <w:r>
        <w:rPr>
          <w:rStyle w:val="a6"/>
          <w:sz w:val="18"/>
        </w:rPr>
        <w:t>16</w:t>
      </w:r>
      <w:r>
        <w:rPr>
          <w:sz w:val="18"/>
          <w:szCs w:val="16"/>
        </w:rPr>
        <w:t xml:space="preserve"> Помимо данного клада на территории Башкирии зафиксировано 10 куфических монет, представляющих в большинстве своем украшения  (Акбулатов И.М., 1987. – С. 132).</w:t>
      </w:r>
    </w:p>
  </w:footnote>
  <w:footnote w:id="41">
    <w:p w14:paraId="2F8BACFC" w14:textId="77777777" w:rsidR="00AE2133" w:rsidRDefault="00AE2133">
      <w:pPr>
        <w:pStyle w:val="a5"/>
        <w:jc w:val="both"/>
        <w:rPr>
          <w:rStyle w:val="a6"/>
          <w:spacing w:val="-4"/>
          <w:sz w:val="18"/>
          <w:szCs w:val="16"/>
        </w:rPr>
      </w:pPr>
      <w:r>
        <w:rPr>
          <w:rStyle w:val="a6"/>
          <w:spacing w:val="-4"/>
          <w:sz w:val="18"/>
        </w:rPr>
        <w:t>17</w:t>
      </w:r>
      <w:r>
        <w:rPr>
          <w:spacing w:val="-4"/>
          <w:sz w:val="18"/>
        </w:rPr>
        <w:t xml:space="preserve"> </w:t>
      </w:r>
      <w:r>
        <w:rPr>
          <w:spacing w:val="-4"/>
          <w:sz w:val="18"/>
          <w:szCs w:val="16"/>
        </w:rPr>
        <w:t>Следует заметить, что в кладе Пальцево 1923 г. Торопецкого р-на Тверской области /Рис. 9, 10/ бухарских монет не зафиксировано, тогда как в той же Тверской губернии была сделана находка дирхема Бухары 293 г.х. (Марков А.К., 1910. – С. 47, № 272).</w:t>
      </w:r>
      <w:r>
        <w:rPr>
          <w:rStyle w:val="a6"/>
          <w:spacing w:val="-4"/>
          <w:sz w:val="18"/>
          <w:szCs w:val="16"/>
        </w:rPr>
        <w:t xml:space="preserve"> </w:t>
      </w:r>
    </w:p>
  </w:footnote>
  <w:footnote w:id="42">
    <w:p w14:paraId="1C780276" w14:textId="77777777" w:rsidR="00AE2133" w:rsidRDefault="00AE2133">
      <w:pPr>
        <w:pStyle w:val="a5"/>
        <w:jc w:val="both"/>
        <w:rPr>
          <w:sz w:val="18"/>
          <w:szCs w:val="16"/>
        </w:rPr>
      </w:pPr>
      <w:r>
        <w:rPr>
          <w:rStyle w:val="a6"/>
          <w:sz w:val="18"/>
        </w:rPr>
        <w:t>18</w:t>
      </w:r>
      <w:r>
        <w:rPr>
          <w:sz w:val="18"/>
          <w:szCs w:val="16"/>
        </w:rPr>
        <w:t xml:space="preserve"> Денежное обращение в Древней Руси на основе золота впервые после Н.П. Бауэра изучал Я.Н. Щапов  (Щапов Я.Н., 1972. – С. 265, прим. 176).</w:t>
      </w:r>
    </w:p>
  </w:footnote>
  <w:footnote w:id="43">
    <w:p w14:paraId="43032436" w14:textId="77777777" w:rsidR="00AE2133" w:rsidRDefault="00AE2133">
      <w:pPr>
        <w:jc w:val="both"/>
        <w:rPr>
          <w:sz w:val="18"/>
        </w:rPr>
      </w:pPr>
      <w:r>
        <w:rPr>
          <w:rStyle w:val="a6"/>
          <w:sz w:val="18"/>
          <w:szCs w:val="20"/>
        </w:rPr>
        <w:t>19</w:t>
      </w:r>
      <w:r>
        <w:rPr>
          <w:sz w:val="18"/>
        </w:rPr>
        <w:t xml:space="preserve"> Распределение С.Болина выглядит как 5 – 17 – 20 – 36 – 22%%. В данном депозите из подсчетов справедливо исключена как примешанная поздняя монета чекан Нисабура 376 г.х. (Марков, 1910. – С. 12. № 67).</w:t>
      </w:r>
    </w:p>
  </w:footnote>
  <w:footnote w:id="44">
    <w:p w14:paraId="6A91000F" w14:textId="77777777" w:rsidR="00AE2133" w:rsidRDefault="00AE2133">
      <w:pPr>
        <w:pStyle w:val="a5"/>
        <w:jc w:val="both"/>
        <w:rPr>
          <w:sz w:val="18"/>
          <w:szCs w:val="16"/>
        </w:rPr>
      </w:pPr>
      <w:r>
        <w:rPr>
          <w:rStyle w:val="a6"/>
          <w:sz w:val="18"/>
        </w:rPr>
        <w:t>20</w:t>
      </w:r>
      <w:r>
        <w:rPr>
          <w:sz w:val="18"/>
          <w:szCs w:val="16"/>
        </w:rPr>
        <w:t xml:space="preserve"> Как видно из изложения П. Сойера /</w:t>
      </w:r>
      <w:r>
        <w:rPr>
          <w:sz w:val="18"/>
          <w:szCs w:val="16"/>
          <w:lang w:val="en-US"/>
        </w:rPr>
        <w:t>P</w:t>
      </w:r>
      <w:r>
        <w:rPr>
          <w:sz w:val="18"/>
          <w:szCs w:val="16"/>
        </w:rPr>
        <w:t xml:space="preserve">. </w:t>
      </w:r>
      <w:r>
        <w:rPr>
          <w:sz w:val="18"/>
          <w:szCs w:val="16"/>
          <w:lang w:val="en-US"/>
        </w:rPr>
        <w:t>Sojer</w:t>
      </w:r>
      <w:r>
        <w:rPr>
          <w:sz w:val="18"/>
          <w:szCs w:val="16"/>
        </w:rPr>
        <w:t>/ – видного специалиста в области истории викингов, клады, найденные как в Швеции, так и Дании с датой ММ 910-х гг. имеют как короткий хронологический диапазон – не более трех – четрыех десятилетий, так и длинный, доходящий до 150 лет. В последних депозитах пик хронологического распределения приходится на 900-е годы, тогда как в более поздних кладах Х в. – на 910-е (Сойер П., 2002, с.168, 304, 305).</w:t>
      </w:r>
    </w:p>
  </w:footnote>
  <w:footnote w:id="45">
    <w:p w14:paraId="57BC347C" w14:textId="77777777" w:rsidR="00AE2133" w:rsidRDefault="00AE2133">
      <w:pPr>
        <w:pStyle w:val="a5"/>
        <w:jc w:val="both"/>
        <w:rPr>
          <w:sz w:val="18"/>
          <w:szCs w:val="16"/>
        </w:rPr>
      </w:pPr>
      <w:r>
        <w:rPr>
          <w:rStyle w:val="a6"/>
          <w:sz w:val="18"/>
        </w:rPr>
        <w:t>21</w:t>
      </w:r>
      <w:r>
        <w:rPr>
          <w:sz w:val="18"/>
          <w:szCs w:val="16"/>
        </w:rPr>
        <w:t xml:space="preserve"> Сведения об этом кладе привела Е.Ю. Мокерова (1995. – С. 47–48. № 10).</w:t>
      </w:r>
    </w:p>
  </w:footnote>
  <w:footnote w:id="46">
    <w:p w14:paraId="6A366E9B" w14:textId="77777777" w:rsidR="00AE2133" w:rsidRDefault="00AE2133">
      <w:pPr>
        <w:pStyle w:val="a5"/>
        <w:jc w:val="both"/>
        <w:rPr>
          <w:spacing w:val="-4"/>
          <w:sz w:val="18"/>
          <w:szCs w:val="16"/>
        </w:rPr>
      </w:pPr>
      <w:r>
        <w:rPr>
          <w:rStyle w:val="a6"/>
          <w:spacing w:val="-4"/>
          <w:sz w:val="18"/>
        </w:rPr>
        <w:t>22</w:t>
      </w:r>
      <w:r>
        <w:rPr>
          <w:spacing w:val="-4"/>
          <w:sz w:val="18"/>
          <w:szCs w:val="16"/>
        </w:rPr>
        <w:t xml:space="preserve"> В кладе Банбаши 1948 г. саманидская монета монетным двором аш-Шаша не представлена, поступая в целом с рынка ал-Мухамадии (Пахомов Е.А., 1966. – С. 36).</w:t>
      </w:r>
    </w:p>
  </w:footnote>
  <w:footnote w:id="47">
    <w:p w14:paraId="453E3049" w14:textId="77777777" w:rsidR="00AE2133" w:rsidRDefault="00AE2133">
      <w:pPr>
        <w:pStyle w:val="a5"/>
        <w:jc w:val="both"/>
        <w:rPr>
          <w:sz w:val="18"/>
          <w:szCs w:val="16"/>
        </w:rPr>
      </w:pPr>
      <w:r>
        <w:rPr>
          <w:rStyle w:val="a6"/>
          <w:sz w:val="18"/>
        </w:rPr>
        <w:t>23</w:t>
      </w:r>
      <w:r>
        <w:rPr>
          <w:sz w:val="18"/>
          <w:szCs w:val="16"/>
        </w:rPr>
        <w:t xml:space="preserve"> Следует вместе с тем учесть 44 монеты (10,81% состава клада) – разовый всплеск чеканки, отложившийся в кладах Европы – Балх 293 г.х. – №№ 63-106 описи Тизенгаузена. Вместе с этим, необходимо отметить присутствие монет брахманских раджей Охинда, найденные в семи пунктах Восточной Европы – от средней Волги до Восточной Прибалтики конца </w:t>
      </w:r>
      <w:r>
        <w:rPr>
          <w:sz w:val="18"/>
          <w:szCs w:val="16"/>
          <w:lang w:val="en-US"/>
        </w:rPr>
        <w:t>IX</w:t>
      </w:r>
      <w:r>
        <w:rPr>
          <w:sz w:val="18"/>
          <w:szCs w:val="16"/>
        </w:rPr>
        <w:t>–</w:t>
      </w:r>
      <w:r>
        <w:rPr>
          <w:sz w:val="18"/>
          <w:szCs w:val="16"/>
          <w:lang w:val="en-US"/>
        </w:rPr>
        <w:t>X</w:t>
      </w:r>
      <w:r>
        <w:rPr>
          <w:sz w:val="18"/>
          <w:szCs w:val="16"/>
        </w:rPr>
        <w:t xml:space="preserve"> вв. (Быков А.А., 1969. – С. 73–76). Данные монеты отмечены и в Туркменистане (Никитин А.Б., 1983. – С. 29–30; Юсупов </w:t>
      </w:r>
      <w:r>
        <w:rPr>
          <w:sz w:val="18"/>
          <w:szCs w:val="16"/>
          <w:lang w:val="en-US"/>
        </w:rPr>
        <w:t>X</w:t>
      </w:r>
      <w:r>
        <w:rPr>
          <w:sz w:val="18"/>
          <w:szCs w:val="16"/>
        </w:rPr>
        <w:t>., 1989. – С. 181–182).</w:t>
      </w:r>
    </w:p>
  </w:footnote>
  <w:footnote w:id="48">
    <w:p w14:paraId="7DCF43A5" w14:textId="77777777" w:rsidR="00AE2133" w:rsidRDefault="00AE2133">
      <w:pPr>
        <w:pStyle w:val="a5"/>
        <w:jc w:val="both"/>
        <w:rPr>
          <w:sz w:val="18"/>
          <w:szCs w:val="16"/>
        </w:rPr>
      </w:pPr>
      <w:r>
        <w:rPr>
          <w:rStyle w:val="a6"/>
          <w:sz w:val="18"/>
        </w:rPr>
        <w:t>1</w:t>
      </w:r>
      <w:r>
        <w:rPr>
          <w:sz w:val="18"/>
          <w:szCs w:val="16"/>
        </w:rPr>
        <w:t xml:space="preserve"> </w:t>
      </w:r>
      <w:r>
        <w:rPr>
          <w:color w:val="000000"/>
          <w:sz w:val="18"/>
          <w:szCs w:val="16"/>
        </w:rPr>
        <w:t>Наличие монеты Харрана – азербайджанской провинции 320/932 г. говори о торговых связях населения долины Арарата в условиях высокогорья.</w:t>
      </w:r>
    </w:p>
  </w:footnote>
  <w:footnote w:id="49">
    <w:p w14:paraId="13631D0F" w14:textId="77777777" w:rsidR="00AE2133" w:rsidRDefault="00AE2133">
      <w:pPr>
        <w:pStyle w:val="a5"/>
        <w:jc w:val="both"/>
        <w:rPr>
          <w:sz w:val="18"/>
          <w:szCs w:val="16"/>
        </w:rPr>
      </w:pPr>
      <w:r>
        <w:rPr>
          <w:rStyle w:val="a6"/>
          <w:sz w:val="18"/>
        </w:rPr>
        <w:t>2</w:t>
      </w:r>
      <w:r>
        <w:rPr>
          <w:sz w:val="18"/>
          <w:szCs w:val="16"/>
        </w:rPr>
        <w:t xml:space="preserve"> Последняя представлена дирхемом 335/946 г., чеканенная Мухаммедом б. Юсуфом (Пахомов Е.А., 1966. – С. 51).</w:t>
      </w:r>
    </w:p>
  </w:footnote>
  <w:footnote w:id="50">
    <w:p w14:paraId="5C5E95B3" w14:textId="77777777" w:rsidR="00AE2133" w:rsidRDefault="00AE2133">
      <w:pPr>
        <w:pStyle w:val="a5"/>
        <w:jc w:val="both"/>
        <w:rPr>
          <w:sz w:val="18"/>
          <w:szCs w:val="16"/>
        </w:rPr>
      </w:pPr>
      <w:r>
        <w:rPr>
          <w:rStyle w:val="a6"/>
        </w:rPr>
        <w:t>3</w:t>
      </w:r>
      <w:r>
        <w:rPr>
          <w:sz w:val="18"/>
          <w:szCs w:val="16"/>
        </w:rPr>
        <w:t xml:space="preserve"> </w:t>
      </w:r>
      <w:r>
        <w:rPr>
          <w:color w:val="000000"/>
          <w:sz w:val="18"/>
          <w:szCs w:val="16"/>
        </w:rPr>
        <w:t>Саманидская составляющая клада Яз-Кираги представлена – 31 монетой, что составляет 31,1% от всей постаббасидской части клада.</w:t>
      </w:r>
    </w:p>
  </w:footnote>
  <w:footnote w:id="51">
    <w:p w14:paraId="33A1D848" w14:textId="77777777" w:rsidR="00AE2133" w:rsidRDefault="00AE2133">
      <w:pPr>
        <w:pStyle w:val="a5"/>
        <w:jc w:val="both"/>
        <w:rPr>
          <w:spacing w:val="-2"/>
          <w:sz w:val="18"/>
          <w:szCs w:val="16"/>
        </w:rPr>
      </w:pPr>
      <w:r>
        <w:rPr>
          <w:rStyle w:val="a6"/>
          <w:spacing w:val="-2"/>
          <w:sz w:val="18"/>
        </w:rPr>
        <w:t>4</w:t>
      </w:r>
      <w:r>
        <w:rPr>
          <w:spacing w:val="-2"/>
          <w:sz w:val="18"/>
          <w:szCs w:val="16"/>
        </w:rPr>
        <w:t xml:space="preserve"> 100 динаров – колоссальная сумма, если учесть, что, как следует из обстоятельной работы О.Г. Большакова, прожиточный минимум одной семьи на Ближнем Востоке составлял около 1,5 динара в месяц, а ремесленник высшей квалификации зарабатывал до 2–2,5 золотых динаров в месяц (Большаков О.Г., 1984. – С. 210, 240).</w:t>
      </w:r>
    </w:p>
  </w:footnote>
  <w:footnote w:id="52">
    <w:p w14:paraId="62F31D58" w14:textId="77777777" w:rsidR="00AE2133" w:rsidRDefault="00AE2133">
      <w:pPr>
        <w:pStyle w:val="a5"/>
        <w:jc w:val="both"/>
        <w:rPr>
          <w:spacing w:val="-4"/>
          <w:sz w:val="18"/>
          <w:szCs w:val="16"/>
        </w:rPr>
      </w:pPr>
      <w:r>
        <w:rPr>
          <w:rStyle w:val="a6"/>
          <w:spacing w:val="-4"/>
          <w:sz w:val="18"/>
        </w:rPr>
        <w:t>5</w:t>
      </w:r>
      <w:r>
        <w:rPr>
          <w:spacing w:val="-4"/>
          <w:sz w:val="18"/>
          <w:szCs w:val="16"/>
        </w:rPr>
        <w:t xml:space="preserve"> Фортификация, историческая топография, а также торгово-экономическое значение Дербента в средневековье подробно изучены А.А. Кудрявцевым (2003. – С. 113–219).</w:t>
      </w:r>
    </w:p>
  </w:footnote>
  <w:footnote w:id="53">
    <w:p w14:paraId="23B994FC" w14:textId="77777777" w:rsidR="00AE2133" w:rsidRDefault="00AE2133">
      <w:pPr>
        <w:pStyle w:val="a5"/>
        <w:jc w:val="both"/>
        <w:rPr>
          <w:sz w:val="18"/>
          <w:szCs w:val="16"/>
        </w:rPr>
      </w:pPr>
      <w:r>
        <w:rPr>
          <w:rStyle w:val="a6"/>
          <w:sz w:val="18"/>
        </w:rPr>
        <w:t>6</w:t>
      </w:r>
      <w:r>
        <w:rPr>
          <w:sz w:val="18"/>
          <w:szCs w:val="16"/>
        </w:rPr>
        <w:t xml:space="preserve"> Методику выявления хронологических экстренумов и лакун в графиках распределений впервые, как известно, применил А.В. Фомин (1995. – С. 65–67).</w:t>
      </w:r>
    </w:p>
  </w:footnote>
  <w:footnote w:id="54">
    <w:p w14:paraId="21953D1F" w14:textId="77777777" w:rsidR="00AE2133" w:rsidRDefault="00AE2133">
      <w:pPr>
        <w:pStyle w:val="a5"/>
        <w:jc w:val="both"/>
        <w:rPr>
          <w:sz w:val="18"/>
          <w:szCs w:val="16"/>
        </w:rPr>
      </w:pPr>
      <w:r>
        <w:rPr>
          <w:rStyle w:val="a6"/>
          <w:sz w:val="18"/>
        </w:rPr>
        <w:t>7</w:t>
      </w:r>
      <w:r>
        <w:rPr>
          <w:sz w:val="18"/>
          <w:szCs w:val="16"/>
        </w:rPr>
        <w:t xml:space="preserve"> Ал-Дайлем горная часть иранской провинции Гилян, населенная дайламитами (дейлеметами) (Микульский Д.В., 2002. – С. 682, прим.34). Подробней об истории и географии Гиляна см.: </w:t>
      </w:r>
      <w:r>
        <w:rPr>
          <w:sz w:val="18"/>
          <w:szCs w:val="16"/>
          <w:lang w:val="en-US"/>
        </w:rPr>
        <w:t>Encyclopedia</w:t>
      </w:r>
      <w:r>
        <w:rPr>
          <w:sz w:val="18"/>
          <w:szCs w:val="16"/>
        </w:rPr>
        <w:t xml:space="preserve"> </w:t>
      </w:r>
      <w:r>
        <w:rPr>
          <w:sz w:val="18"/>
          <w:szCs w:val="16"/>
          <w:lang w:val="en-US"/>
        </w:rPr>
        <w:t>Iranica</w:t>
      </w:r>
      <w:r>
        <w:rPr>
          <w:sz w:val="18"/>
          <w:szCs w:val="16"/>
        </w:rPr>
        <w:t>, 2001. – Р. 648–668).</w:t>
      </w:r>
    </w:p>
  </w:footnote>
  <w:footnote w:id="55">
    <w:p w14:paraId="7556A33A" w14:textId="77777777" w:rsidR="00AE2133" w:rsidRDefault="00AE2133">
      <w:pPr>
        <w:pStyle w:val="a5"/>
        <w:jc w:val="both"/>
        <w:rPr>
          <w:sz w:val="18"/>
          <w:szCs w:val="16"/>
          <w:lang w:val="en-US"/>
        </w:rPr>
      </w:pPr>
      <w:r>
        <w:rPr>
          <w:rStyle w:val="a6"/>
          <w:sz w:val="18"/>
        </w:rPr>
        <w:t>8</w:t>
      </w:r>
      <w:r>
        <w:rPr>
          <w:sz w:val="18"/>
          <w:szCs w:val="16"/>
        </w:rPr>
        <w:t xml:space="preserve"> Согласно Е. Цамбауру, четвертый брат </w:t>
      </w:r>
      <w:r>
        <w:rPr>
          <w:sz w:val="18"/>
          <w:szCs w:val="16"/>
          <w:lang w:val="en-US"/>
        </w:rPr>
        <w:t>K</w:t>
      </w:r>
      <w:r>
        <w:rPr>
          <w:sz w:val="18"/>
          <w:szCs w:val="16"/>
        </w:rPr>
        <w:t>ā</w:t>
      </w:r>
      <w:r>
        <w:rPr>
          <w:sz w:val="18"/>
          <w:szCs w:val="16"/>
          <w:lang w:val="en-US"/>
        </w:rPr>
        <w:t>ma</w:t>
      </w:r>
      <w:r>
        <w:rPr>
          <w:sz w:val="18"/>
          <w:szCs w:val="16"/>
        </w:rPr>
        <w:t xml:space="preserve"> был самым младшим и в число соправителей Ирана не вошел (</w:t>
      </w:r>
      <w:r>
        <w:rPr>
          <w:sz w:val="18"/>
          <w:szCs w:val="16"/>
          <w:lang w:val="en-US"/>
        </w:rPr>
        <w:t>Zmbaur</w:t>
      </w:r>
      <w:r>
        <w:rPr>
          <w:sz w:val="18"/>
          <w:szCs w:val="16"/>
        </w:rPr>
        <w:t xml:space="preserve"> </w:t>
      </w:r>
      <w:r>
        <w:rPr>
          <w:sz w:val="18"/>
          <w:szCs w:val="16"/>
          <w:lang w:val="en-US"/>
        </w:rPr>
        <w:t>E</w:t>
      </w:r>
      <w:r>
        <w:rPr>
          <w:sz w:val="18"/>
          <w:szCs w:val="16"/>
        </w:rPr>
        <w:t xml:space="preserve">., 1955. </w:t>
      </w:r>
      <w:r>
        <w:rPr>
          <w:sz w:val="18"/>
          <w:szCs w:val="16"/>
          <w:lang w:val="en-US"/>
        </w:rPr>
        <w:t>Avec, Tabl. Q).</w:t>
      </w:r>
    </w:p>
  </w:footnote>
  <w:footnote w:id="56">
    <w:p w14:paraId="17C0E787" w14:textId="77777777" w:rsidR="00AE2133" w:rsidRDefault="00AE2133">
      <w:pPr>
        <w:pStyle w:val="a5"/>
        <w:jc w:val="both"/>
        <w:rPr>
          <w:sz w:val="18"/>
          <w:szCs w:val="16"/>
        </w:rPr>
      </w:pPr>
      <w:r>
        <w:rPr>
          <w:rStyle w:val="a6"/>
          <w:sz w:val="18"/>
        </w:rPr>
        <w:t>9</w:t>
      </w:r>
      <w:r>
        <w:rPr>
          <w:sz w:val="18"/>
          <w:szCs w:val="16"/>
        </w:rPr>
        <w:t xml:space="preserve"> Добавим сюда и дирхем  самаркандского клада 1928 г., отчеканенный от имени /Руки ад/-Даула /Абу Али/ и  Муизз  ад Даула Абу-л-Хусайн: Рамхурмуз 342/953-4 г. (Кочнев Б.Д., 1996. – № 7).</w:t>
      </w:r>
    </w:p>
  </w:footnote>
  <w:footnote w:id="57">
    <w:p w14:paraId="5E7ED878" w14:textId="77777777" w:rsidR="00AE2133" w:rsidRDefault="00AE2133">
      <w:pPr>
        <w:pStyle w:val="a5"/>
        <w:jc w:val="both"/>
        <w:rPr>
          <w:sz w:val="18"/>
          <w:szCs w:val="16"/>
        </w:rPr>
      </w:pPr>
      <w:r>
        <w:rPr>
          <w:rStyle w:val="a6"/>
          <w:sz w:val="18"/>
        </w:rPr>
        <w:t>10</w:t>
      </w:r>
      <w:r>
        <w:rPr>
          <w:sz w:val="18"/>
          <w:szCs w:val="16"/>
        </w:rPr>
        <w:t xml:space="preserve"> Новое чтение имени руководителя посольства – «Саусан» предложил О.Г. Большаков (2000. – С. 60).</w:t>
      </w:r>
    </w:p>
  </w:footnote>
  <w:footnote w:id="58">
    <w:p w14:paraId="434356CD" w14:textId="77777777" w:rsidR="00AE2133" w:rsidRDefault="00AE2133">
      <w:pPr>
        <w:pStyle w:val="a5"/>
        <w:jc w:val="both"/>
        <w:rPr>
          <w:sz w:val="18"/>
          <w:szCs w:val="16"/>
        </w:rPr>
      </w:pPr>
      <w:r>
        <w:rPr>
          <w:rStyle w:val="a6"/>
        </w:rPr>
        <w:t>11</w:t>
      </w:r>
      <w:r>
        <w:rPr>
          <w:sz w:val="18"/>
          <w:szCs w:val="16"/>
        </w:rPr>
        <w:t xml:space="preserve"> Она представлена дирхемом, выпущенном от имени Тахира б.Мухаммеда. Чекан Фарса 291 г.х. (Пахомов  Е.А., 1966. – С. 51).</w:t>
      </w:r>
    </w:p>
  </w:footnote>
  <w:footnote w:id="59">
    <w:p w14:paraId="0965BCD5" w14:textId="77777777" w:rsidR="00AE2133" w:rsidRDefault="00AE2133">
      <w:pPr>
        <w:pStyle w:val="a5"/>
        <w:jc w:val="both"/>
        <w:rPr>
          <w:sz w:val="18"/>
          <w:szCs w:val="16"/>
        </w:rPr>
      </w:pPr>
      <w:r>
        <w:rPr>
          <w:rStyle w:val="a6"/>
          <w:sz w:val="18"/>
        </w:rPr>
        <w:t>12</w:t>
      </w:r>
      <w:r>
        <w:rPr>
          <w:sz w:val="18"/>
          <w:szCs w:val="16"/>
        </w:rPr>
        <w:t xml:space="preserve"> По данным А.К. Маркова, на территории Восточной, Центральной и Северной Европы выпало около 70 кладов восточных монет, содержащие дирхемы Тахиридов. Историю установления власти Тахиридов в Хорезме и Дахистане показал Е. Атагаррыев (1986. – С. 17–18).</w:t>
      </w:r>
    </w:p>
  </w:footnote>
  <w:footnote w:id="60">
    <w:p w14:paraId="1F0A005D" w14:textId="77777777" w:rsidR="00AE2133" w:rsidRDefault="00AE2133">
      <w:pPr>
        <w:pStyle w:val="a5"/>
        <w:jc w:val="both"/>
        <w:rPr>
          <w:sz w:val="18"/>
          <w:szCs w:val="16"/>
        </w:rPr>
      </w:pPr>
      <w:r>
        <w:rPr>
          <w:rStyle w:val="a6"/>
          <w:sz w:val="18"/>
        </w:rPr>
        <w:t>13</w:t>
      </w:r>
      <w:r>
        <w:rPr>
          <w:sz w:val="18"/>
          <w:szCs w:val="16"/>
        </w:rPr>
        <w:t xml:space="preserve"> В кладе Банбаши саманидская монета монетным двором аш-Шаша не представлена, поступая в целом с рынка ал-Мухамадии (Пахомов Е.А., 1966. – С. 36).</w:t>
      </w:r>
    </w:p>
  </w:footnote>
  <w:footnote w:id="61">
    <w:p w14:paraId="5DBCA01D" w14:textId="77777777" w:rsidR="00AE2133" w:rsidRDefault="00AE2133">
      <w:pPr>
        <w:pStyle w:val="a5"/>
        <w:jc w:val="both"/>
        <w:rPr>
          <w:sz w:val="18"/>
          <w:szCs w:val="16"/>
        </w:rPr>
      </w:pPr>
      <w:r>
        <w:rPr>
          <w:rStyle w:val="a6"/>
          <w:sz w:val="18"/>
        </w:rPr>
        <w:t>14</w:t>
      </w:r>
      <w:r>
        <w:rPr>
          <w:sz w:val="18"/>
          <w:szCs w:val="16"/>
        </w:rPr>
        <w:t xml:space="preserve"> </w:t>
      </w:r>
      <w:r>
        <w:rPr>
          <w:sz w:val="18"/>
          <w:szCs w:val="16"/>
          <w:lang w:val="de-DE"/>
        </w:rPr>
        <w:t xml:space="preserve">Халиф ал-Кахир 320-322/10.05.932 </w:t>
      </w:r>
      <w:r>
        <w:rPr>
          <w:sz w:val="18"/>
          <w:szCs w:val="16"/>
        </w:rPr>
        <w:t>–</w:t>
      </w:r>
      <w:r>
        <w:rPr>
          <w:sz w:val="18"/>
          <w:szCs w:val="16"/>
          <w:lang w:val="de-DE"/>
        </w:rPr>
        <w:t xml:space="preserve"> 23.04.933 был свергунт и ослеплен (Микульский Д.В., 2002</w:t>
      </w:r>
      <w:r>
        <w:rPr>
          <w:sz w:val="18"/>
          <w:szCs w:val="16"/>
        </w:rPr>
        <w:t>. –</w:t>
      </w:r>
      <w:r>
        <w:rPr>
          <w:sz w:val="18"/>
          <w:szCs w:val="16"/>
          <w:lang w:val="de-DE"/>
        </w:rPr>
        <w:t xml:space="preserve"> </w:t>
      </w:r>
      <w:r>
        <w:rPr>
          <w:sz w:val="18"/>
          <w:szCs w:val="16"/>
        </w:rPr>
        <w:t>С</w:t>
      </w:r>
      <w:r>
        <w:rPr>
          <w:sz w:val="18"/>
          <w:szCs w:val="16"/>
          <w:lang w:val="de-DE"/>
        </w:rPr>
        <w:t>.</w:t>
      </w:r>
      <w:r>
        <w:rPr>
          <w:sz w:val="18"/>
          <w:szCs w:val="16"/>
        </w:rPr>
        <w:t xml:space="preserve"> </w:t>
      </w:r>
      <w:r>
        <w:rPr>
          <w:sz w:val="18"/>
          <w:szCs w:val="16"/>
          <w:lang w:val="de-DE"/>
        </w:rPr>
        <w:t>499).</w:t>
      </w:r>
    </w:p>
  </w:footnote>
  <w:footnote w:id="62">
    <w:p w14:paraId="28575872" w14:textId="77777777" w:rsidR="00AE2133" w:rsidRDefault="00AE2133">
      <w:pPr>
        <w:pStyle w:val="a5"/>
        <w:jc w:val="both"/>
        <w:rPr>
          <w:sz w:val="18"/>
          <w:szCs w:val="16"/>
        </w:rPr>
      </w:pPr>
      <w:r>
        <w:rPr>
          <w:rStyle w:val="a6"/>
          <w:sz w:val="18"/>
        </w:rPr>
        <w:t>15</w:t>
      </w:r>
      <w:r>
        <w:rPr>
          <w:sz w:val="18"/>
          <w:szCs w:val="16"/>
        </w:rPr>
        <w:t xml:space="preserve"> Памятные дирхемы выпускались еще и Аббасидами. Как убедительно показал В.М. Потин, в Шумиловском кладе 1927 г. из Новгородской области отложился дирхем, выпущенный от имени двоюродной сестры и жены Харуна ар-Рашида Умджавад Зубейды, который был отчеканен к ее 50-летию в 195 г.х. (Потин В.М., 1993. – С. 230; ил. 72).</w:t>
      </w:r>
    </w:p>
  </w:footnote>
  <w:footnote w:id="63">
    <w:p w14:paraId="39E8D412" w14:textId="77777777" w:rsidR="00AE2133" w:rsidRDefault="00AE2133">
      <w:pPr>
        <w:pStyle w:val="a5"/>
        <w:jc w:val="both"/>
        <w:rPr>
          <w:sz w:val="18"/>
          <w:szCs w:val="16"/>
        </w:rPr>
      </w:pPr>
      <w:r>
        <w:rPr>
          <w:rStyle w:val="a6"/>
          <w:sz w:val="18"/>
        </w:rPr>
        <w:t>16</w:t>
      </w:r>
      <w:r>
        <w:rPr>
          <w:sz w:val="18"/>
          <w:szCs w:val="16"/>
        </w:rPr>
        <w:t xml:space="preserve"> Монеты с тремя ушками, а также пробитые дважды требуют дополнительного изучения. В небольшом, но археологически «чистом» кладе, найденном А.Н. Москаленко на городище Титчиха в Воронежской области, почти все монеты имеют отверстия, причем есть дирхем, пробитый трижды (Москаленко А.Н., 1965. – С. 271–273).</w:t>
      </w:r>
    </w:p>
  </w:footnote>
  <w:footnote w:id="64">
    <w:p w14:paraId="341C9B65" w14:textId="77777777" w:rsidR="00AE2133" w:rsidRDefault="00AE2133">
      <w:pPr>
        <w:pStyle w:val="a5"/>
        <w:jc w:val="both"/>
        <w:rPr>
          <w:sz w:val="18"/>
          <w:szCs w:val="16"/>
        </w:rPr>
      </w:pPr>
      <w:r>
        <w:rPr>
          <w:rStyle w:val="a6"/>
          <w:sz w:val="18"/>
        </w:rPr>
        <w:t>17</w:t>
      </w:r>
      <w:r>
        <w:rPr>
          <w:sz w:val="18"/>
          <w:szCs w:val="16"/>
        </w:rPr>
        <w:t xml:space="preserve"> Широтная торговля арабских купцов хорошо изучена. Как пишет А. Мец «…в Х в. богатый арабский купец превращается в носителя мусульманской культуры» (Мец А., 1973. – С. 374).</w:t>
      </w:r>
    </w:p>
  </w:footnote>
  <w:footnote w:id="65">
    <w:p w14:paraId="488237E6" w14:textId="77777777" w:rsidR="00AE2133" w:rsidRDefault="00AE2133">
      <w:pPr>
        <w:pStyle w:val="a5"/>
        <w:rPr>
          <w:sz w:val="18"/>
          <w:szCs w:val="16"/>
        </w:rPr>
      </w:pPr>
      <w:r>
        <w:rPr>
          <w:rStyle w:val="a6"/>
          <w:sz w:val="18"/>
        </w:rPr>
        <w:t>18</w:t>
      </w:r>
      <w:r>
        <w:rPr>
          <w:sz w:val="18"/>
          <w:szCs w:val="16"/>
        </w:rPr>
        <w:t xml:space="preserve"> Генеологию династии см.: (</w:t>
      </w:r>
      <w:r>
        <w:rPr>
          <w:sz w:val="18"/>
          <w:szCs w:val="16"/>
          <w:lang w:val="en-US"/>
        </w:rPr>
        <w:t>Zmbaur</w:t>
      </w:r>
      <w:r>
        <w:rPr>
          <w:sz w:val="18"/>
          <w:szCs w:val="16"/>
        </w:rPr>
        <w:t xml:space="preserve"> </w:t>
      </w:r>
      <w:r>
        <w:rPr>
          <w:sz w:val="18"/>
          <w:szCs w:val="16"/>
          <w:lang w:val="en-US"/>
        </w:rPr>
        <w:t>E</w:t>
      </w:r>
      <w:r>
        <w:rPr>
          <w:sz w:val="18"/>
          <w:szCs w:val="16"/>
        </w:rPr>
        <w:t xml:space="preserve">., 1955. – </w:t>
      </w:r>
      <w:r>
        <w:rPr>
          <w:sz w:val="18"/>
          <w:szCs w:val="16"/>
          <w:lang w:val="en-US"/>
        </w:rPr>
        <w:t>S</w:t>
      </w:r>
      <w:r>
        <w:rPr>
          <w:sz w:val="18"/>
          <w:szCs w:val="16"/>
        </w:rPr>
        <w:t>. 133).</w:t>
      </w:r>
    </w:p>
  </w:footnote>
  <w:footnote w:id="66">
    <w:p w14:paraId="46A753F6" w14:textId="77777777" w:rsidR="00AE2133" w:rsidRDefault="00AE2133">
      <w:pPr>
        <w:pStyle w:val="a5"/>
        <w:jc w:val="both"/>
        <w:rPr>
          <w:sz w:val="18"/>
          <w:szCs w:val="16"/>
        </w:rPr>
      </w:pPr>
      <w:r>
        <w:rPr>
          <w:rStyle w:val="a6"/>
          <w:sz w:val="18"/>
        </w:rPr>
        <w:t>19</w:t>
      </w:r>
      <w:r>
        <w:rPr>
          <w:sz w:val="18"/>
          <w:szCs w:val="16"/>
        </w:rPr>
        <w:t xml:space="preserve"> В распределениях клада Яз-Кираги нами учитываются 7 хамданидских монет (Пахомов Е.А., 1966. – С. 66). Мосул – столица иракской провинции Язирах, которую описал Ибн Хаукаль в 358/969 г., как город с великолепными рынками и многочисленными караван-сараями. Мосул являлся крупнейшим посредническим центром торговли (</w:t>
      </w:r>
      <w:r>
        <w:rPr>
          <w:sz w:val="18"/>
          <w:szCs w:val="16"/>
          <w:lang w:val="en-US"/>
        </w:rPr>
        <w:t>Le</w:t>
      </w:r>
      <w:r>
        <w:rPr>
          <w:sz w:val="18"/>
          <w:szCs w:val="16"/>
        </w:rPr>
        <w:t xml:space="preserve"> </w:t>
      </w:r>
      <w:r>
        <w:rPr>
          <w:sz w:val="18"/>
          <w:szCs w:val="16"/>
          <w:lang w:val="en-US"/>
        </w:rPr>
        <w:t>Strange</w:t>
      </w:r>
      <w:r>
        <w:rPr>
          <w:sz w:val="18"/>
          <w:szCs w:val="16"/>
        </w:rPr>
        <w:t xml:space="preserve"> </w:t>
      </w:r>
      <w:r>
        <w:rPr>
          <w:sz w:val="18"/>
          <w:szCs w:val="16"/>
          <w:lang w:val="en-US"/>
        </w:rPr>
        <w:t>G</w:t>
      </w:r>
      <w:r>
        <w:rPr>
          <w:sz w:val="18"/>
          <w:szCs w:val="16"/>
        </w:rPr>
        <w:t>., 1966. – Р. 87–90).</w:t>
      </w:r>
    </w:p>
  </w:footnote>
  <w:footnote w:id="67">
    <w:p w14:paraId="1C4CE34E" w14:textId="77777777" w:rsidR="00AE2133" w:rsidRDefault="00AE2133">
      <w:pPr>
        <w:pStyle w:val="a5"/>
        <w:jc w:val="both"/>
        <w:rPr>
          <w:sz w:val="18"/>
          <w:szCs w:val="16"/>
        </w:rPr>
      </w:pPr>
      <w:r>
        <w:rPr>
          <w:rStyle w:val="a6"/>
          <w:sz w:val="18"/>
        </w:rPr>
        <w:t>20</w:t>
      </w:r>
      <w:r>
        <w:rPr>
          <w:sz w:val="18"/>
          <w:szCs w:val="16"/>
        </w:rPr>
        <w:t xml:space="preserve"> См.: (Фрай Р., 1972. – С. 340; 2002. – С. 340). Вместе с этим, в кладе Яз-Кираги имеется дирхем, выпущенный от имени двух братьев – Имад- и Муиз ад-Даула в 334 г.х. Мадинат-ас-Салам – Али и Ахмад соответственно. Заметим, что Саманиды продолжали чеканить дирхем с именем свергнутого халифа вплоть до 338/939 г. (Пахомов Е.А., 1966. – С. 54, 58–59).</w:t>
      </w:r>
    </w:p>
  </w:footnote>
  <w:footnote w:id="68">
    <w:p w14:paraId="4CB8E022" w14:textId="77777777" w:rsidR="00AE2133" w:rsidRDefault="00AE2133">
      <w:pPr>
        <w:pStyle w:val="a5"/>
        <w:jc w:val="both"/>
        <w:rPr>
          <w:sz w:val="18"/>
          <w:szCs w:val="16"/>
        </w:rPr>
      </w:pPr>
      <w:r>
        <w:rPr>
          <w:rStyle w:val="a6"/>
          <w:sz w:val="18"/>
        </w:rPr>
        <w:t>21</w:t>
      </w:r>
      <w:r>
        <w:rPr>
          <w:sz w:val="18"/>
          <w:szCs w:val="16"/>
        </w:rPr>
        <w:t xml:space="preserve"> Лакаб – особый почетный титул, указывающий на деятельность, связанную с Аллахом. Эту традицию основал второй Аббасид Мансур. «Ал-Мансур би-л-Лах» означает «Победоносный благодаря Аллаху».</w:t>
      </w:r>
    </w:p>
  </w:footnote>
  <w:footnote w:id="69">
    <w:p w14:paraId="6B7B460D" w14:textId="77777777" w:rsidR="00AE2133" w:rsidRDefault="00AE2133">
      <w:pPr>
        <w:pStyle w:val="a5"/>
        <w:jc w:val="both"/>
        <w:rPr>
          <w:sz w:val="18"/>
          <w:szCs w:val="16"/>
        </w:rPr>
      </w:pPr>
      <w:r>
        <w:rPr>
          <w:rStyle w:val="a6"/>
          <w:sz w:val="18"/>
        </w:rPr>
        <w:t>22</w:t>
      </w:r>
      <w:r>
        <w:rPr>
          <w:sz w:val="18"/>
          <w:szCs w:val="16"/>
        </w:rPr>
        <w:t xml:space="preserve"> Не забудем и саджидскую монету, эмитированную в Арминии Юсуфом б. Дивдадом в 319/931 г. (Пахомов Е.А., 1966. – С. 34, № 22), а также указание В.Ф. Минорского, использовавшегося соответствующие работы А.А. Быкова, на чекан Муфлика в Ардебиле в 320 и в 323 гг. в Бердаа. Между этими датами был перерыв (Минорский В.Ф., 1963. – С. 85–86).</w:t>
      </w:r>
    </w:p>
  </w:footnote>
  <w:footnote w:id="70">
    <w:p w14:paraId="733B486C" w14:textId="77777777" w:rsidR="00AE2133" w:rsidRDefault="00AE2133">
      <w:pPr>
        <w:pStyle w:val="a5"/>
        <w:jc w:val="both"/>
        <w:rPr>
          <w:sz w:val="18"/>
          <w:szCs w:val="16"/>
        </w:rPr>
      </w:pPr>
      <w:r>
        <w:rPr>
          <w:rStyle w:val="a6"/>
          <w:sz w:val="18"/>
        </w:rPr>
        <w:t>23</w:t>
      </w:r>
      <w:r>
        <w:rPr>
          <w:sz w:val="18"/>
          <w:szCs w:val="16"/>
        </w:rPr>
        <w:t xml:space="preserve"> По мнению Т.М. Калининой, русы начали поход в 910 и оставались на Южном побережье Каспия до 913 г. (Калинина Т.М., 1997. – С. 15–17). По словам Мас’уди, местные жители, видевшие до того только торговые и рыболовецкие суда, были смятены кораблями русов «...их отряды отправились в Гилян, Дейлем, Табаристан, Абескун на гурганском берегу, в область нефтяных камней и в Азербайджан, потому что главный город Азербайджана отстоит от моря всего три дня пути /Ардебиль – ?/. Они проливали кровь, захватывали женщин и детей, грабили имущество, снаряжали отряды для набегов, уничтожали и жгли /дома/...» (Древняя Русь, 1999. – С. 222). Это, вероятно, один из самых крупных походов викингов, когда на 500 судах в зависимости от грузоподъемности могло находится от 50 до 100 тыс. воинов (Мишин Д.Е., 1996. – С. 76). Полное совпадение данных ал-Масуди с текстом Шехтера хазарской дипломатической переписки о походе по предводительством </w:t>
      </w:r>
      <w:r>
        <w:rPr>
          <w:sz w:val="18"/>
          <w:szCs w:val="16"/>
          <w:lang w:val="en-US"/>
        </w:rPr>
        <w:t>HLGW</w:t>
      </w:r>
      <w:r>
        <w:rPr>
          <w:sz w:val="18"/>
          <w:szCs w:val="16"/>
        </w:rPr>
        <w:t>/ХЛГ 925 г., может быть соотнесено по времени с посольством ал-Муктадира в Волжскую Булгарию (Голб Н., Прицак О., 1997. – С. 167–169, 221, прим к с.167; Петрухин В.Я, 1995. – С. 102). Состав участников походов был полиэтничен. «Его /Искендера – Н.Х./ черный как у Аббасидов, зонт пускал камень на чашу бургасов» (Низами Гянджеви, 1983. – С. 326, 327 и след.).</w:t>
      </w:r>
    </w:p>
  </w:footnote>
  <w:footnote w:id="71">
    <w:p w14:paraId="4456400F" w14:textId="77777777" w:rsidR="00AE2133" w:rsidRDefault="00AE2133">
      <w:pPr>
        <w:pStyle w:val="a5"/>
        <w:jc w:val="both"/>
        <w:rPr>
          <w:sz w:val="18"/>
          <w:szCs w:val="16"/>
        </w:rPr>
      </w:pPr>
      <w:r>
        <w:rPr>
          <w:rStyle w:val="a6"/>
          <w:sz w:val="18"/>
        </w:rPr>
        <w:t>24</w:t>
      </w:r>
      <w:r>
        <w:rPr>
          <w:sz w:val="18"/>
          <w:szCs w:val="16"/>
        </w:rPr>
        <w:t xml:space="preserve"> Об этом свидетельствует и проникновение самаркандского дирхема на рынки Закавказья. Р. Фрай, в частности, обращает внимание на столкновение разных экономических интересов в Иране и Ираке при поздних Аббасидах, отражавшихся на состоянии торговли (Фрай Р., 1972. – С. 335; 335–336).</w:t>
      </w:r>
    </w:p>
  </w:footnote>
  <w:footnote w:id="72">
    <w:p w14:paraId="3BE45DC9" w14:textId="77777777" w:rsidR="00AE2133" w:rsidRDefault="00AE2133">
      <w:pPr>
        <w:numPr>
          <w:ilvl w:val="12"/>
          <w:numId w:val="0"/>
        </w:numPr>
        <w:jc w:val="both"/>
        <w:rPr>
          <w:sz w:val="18"/>
          <w:szCs w:val="16"/>
        </w:rPr>
      </w:pPr>
      <w:r>
        <w:rPr>
          <w:rStyle w:val="a6"/>
          <w:sz w:val="20"/>
          <w:szCs w:val="20"/>
        </w:rPr>
        <w:t>25</w:t>
      </w:r>
      <w:r>
        <w:rPr>
          <w:sz w:val="18"/>
          <w:szCs w:val="16"/>
        </w:rPr>
        <w:t xml:space="preserve"> В рассматриваемых кладах  дирхемы с монетным двором Арминия распределился следующим образом: 1. кл. Бзован. 319 г. (Мушегян Х.А., 1962. – С. 144; Пахомов Е.А., 1966. – С. 33, № 22); 2.кл.Банбаши. 253 (?) х. с именем халифа ал-Мутазз (251-255/866-869), пробит, след ушка и сильно потерт (Пахомов Е.А., 1966. – С. 34, № 8)  3. кл.Яз-Кираги. 252 г.х. (ал-Мутазз) (Там же. – С. 41) .</w:t>
      </w:r>
    </w:p>
  </w:footnote>
  <w:footnote w:id="73">
    <w:p w14:paraId="42EEB5CC" w14:textId="77777777" w:rsidR="00AE2133" w:rsidRDefault="00AE2133">
      <w:pPr>
        <w:pStyle w:val="a5"/>
        <w:jc w:val="both"/>
        <w:rPr>
          <w:sz w:val="18"/>
          <w:szCs w:val="16"/>
        </w:rPr>
      </w:pPr>
      <w:r>
        <w:rPr>
          <w:rStyle w:val="a6"/>
          <w:sz w:val="18"/>
        </w:rPr>
        <w:t>26</w:t>
      </w:r>
      <w:r>
        <w:rPr>
          <w:sz w:val="18"/>
          <w:szCs w:val="16"/>
        </w:rPr>
        <w:t xml:space="preserve"> Последнее документируется публикацией дирхема, найденного в 1970 г. в Новгороде  (Молчанов А.А., 2001. – С. 58–60).</w:t>
      </w:r>
    </w:p>
  </w:footnote>
  <w:footnote w:id="74">
    <w:p w14:paraId="5AC11B6A" w14:textId="77777777" w:rsidR="00AE2133" w:rsidRDefault="00AE2133">
      <w:pPr>
        <w:pStyle w:val="a5"/>
        <w:jc w:val="both"/>
        <w:rPr>
          <w:sz w:val="18"/>
          <w:szCs w:val="16"/>
        </w:rPr>
      </w:pPr>
      <w:r>
        <w:rPr>
          <w:rStyle w:val="a6"/>
          <w:sz w:val="18"/>
        </w:rPr>
        <w:t>27</w:t>
      </w:r>
      <w:r>
        <w:rPr>
          <w:sz w:val="18"/>
          <w:szCs w:val="16"/>
        </w:rPr>
        <w:t xml:space="preserve"> Младшая монета 366/976–977 гг. представлена монетой булгарского эмира Мумина б.Ал-Хасана.</w:t>
      </w:r>
    </w:p>
  </w:footnote>
  <w:footnote w:id="75">
    <w:p w14:paraId="3D459636" w14:textId="77777777" w:rsidR="00AE2133" w:rsidRDefault="00AE2133">
      <w:pPr>
        <w:pStyle w:val="a5"/>
        <w:jc w:val="both"/>
        <w:rPr>
          <w:sz w:val="18"/>
          <w:szCs w:val="16"/>
        </w:rPr>
      </w:pPr>
      <w:r>
        <w:rPr>
          <w:rStyle w:val="a6"/>
          <w:sz w:val="18"/>
        </w:rPr>
        <w:t>28</w:t>
      </w:r>
      <w:r>
        <w:rPr>
          <w:sz w:val="18"/>
          <w:szCs w:val="16"/>
        </w:rPr>
        <w:t xml:space="preserve"> 32 экземпляра андерабского чекана 286–307 г.х. Богдановского 1885 г. клада Вятской губернии (Марков, А.К., 1910, № 34) связаны с мощным всплеском монетной эмиссии, и последовавшим вслед за ним стартовым импульсом данного монетного двора.</w:t>
      </w:r>
    </w:p>
  </w:footnote>
  <w:footnote w:id="76">
    <w:p w14:paraId="31A07441" w14:textId="77777777" w:rsidR="00AE2133" w:rsidRDefault="00AE2133">
      <w:pPr>
        <w:pStyle w:val="a5"/>
        <w:jc w:val="both"/>
        <w:rPr>
          <w:sz w:val="18"/>
          <w:szCs w:val="16"/>
        </w:rPr>
      </w:pPr>
      <w:r>
        <w:rPr>
          <w:rStyle w:val="a6"/>
          <w:sz w:val="18"/>
        </w:rPr>
        <w:t>29</w:t>
      </w:r>
      <w:r>
        <w:rPr>
          <w:sz w:val="18"/>
          <w:szCs w:val="16"/>
        </w:rPr>
        <w:t xml:space="preserve"> Общее состояние исследований и литературу вопроса показал  Г.А. Ахмедов (Крым, Северо-Восточное Причерноморье и Закавказье, 2003. – С. 384).</w:t>
      </w:r>
    </w:p>
  </w:footnote>
  <w:footnote w:id="77">
    <w:p w14:paraId="7398A4E5" w14:textId="77777777" w:rsidR="00AE2133" w:rsidRDefault="00AE2133">
      <w:pPr>
        <w:pStyle w:val="a5"/>
        <w:spacing w:line="190" w:lineRule="exact"/>
        <w:jc w:val="both"/>
        <w:rPr>
          <w:sz w:val="18"/>
          <w:szCs w:val="16"/>
        </w:rPr>
      </w:pPr>
      <w:r>
        <w:rPr>
          <w:rStyle w:val="a6"/>
          <w:sz w:val="18"/>
        </w:rPr>
        <w:t>1</w:t>
      </w:r>
      <w:r>
        <w:rPr>
          <w:sz w:val="18"/>
          <w:szCs w:val="16"/>
        </w:rPr>
        <w:t xml:space="preserve"> Е. Атагаррыев (1986. – с. 13, 152–154) показал, что 118 фарсахов среднеазиатские караваны проходили за 20 дней. </w:t>
      </w:r>
    </w:p>
  </w:footnote>
  <w:footnote w:id="78">
    <w:p w14:paraId="41FAE9BD" w14:textId="77777777" w:rsidR="00AE2133" w:rsidRDefault="00AE2133">
      <w:pPr>
        <w:pStyle w:val="a5"/>
        <w:spacing w:line="190" w:lineRule="exact"/>
        <w:jc w:val="both"/>
        <w:rPr>
          <w:sz w:val="18"/>
          <w:szCs w:val="16"/>
        </w:rPr>
      </w:pPr>
      <w:r>
        <w:rPr>
          <w:rStyle w:val="a6"/>
          <w:sz w:val="18"/>
        </w:rPr>
        <w:t>2</w:t>
      </w:r>
      <w:r>
        <w:rPr>
          <w:sz w:val="18"/>
          <w:szCs w:val="16"/>
        </w:rPr>
        <w:t xml:space="preserve"> Изучая граффити на монетах, Е.А. Мельникова  привела  зияридский дирхем, выпущенный в Амуле (?) в 365/975–976 г., разделенный пересекающимися под прямым углом диаметральными линиями – «обычный способ разметки для разрезания монеты» (Мельникова Е.А., 1996. – С. 253, № 53 и с. 262, № 53). Опираясь на сведения Гардизи 951 г., исследователи отмечали обращение в Самарканде наряду с целыми монетами обломки (Янин В.Л., 1956. – С. 72). </w:t>
      </w:r>
    </w:p>
  </w:footnote>
  <w:footnote w:id="79">
    <w:p w14:paraId="51E5DDF0" w14:textId="77777777" w:rsidR="00AE2133" w:rsidRDefault="00AE2133">
      <w:pPr>
        <w:pStyle w:val="a5"/>
        <w:jc w:val="both"/>
        <w:rPr>
          <w:spacing w:val="-2"/>
          <w:sz w:val="18"/>
          <w:szCs w:val="16"/>
        </w:rPr>
      </w:pPr>
      <w:r>
        <w:rPr>
          <w:rStyle w:val="a6"/>
          <w:spacing w:val="-2"/>
          <w:sz w:val="18"/>
        </w:rPr>
        <w:t>3</w:t>
      </w:r>
      <w:r>
        <w:rPr>
          <w:spacing w:val="-2"/>
          <w:sz w:val="18"/>
          <w:szCs w:val="16"/>
        </w:rPr>
        <w:t xml:space="preserve"> Это позволяет уточнить нечетко читаемую дату на одной из монет Фахр-ад Даулы Суварского клада 1974 г. 367/977–978 или 377/987–988 г. (Фёдоров-Давыдов Г.А., 1985а. – С. 45, № 21), последняя, скорее всего, должна иметь дату эмиссии 377 г.х. </w:t>
      </w:r>
    </w:p>
  </w:footnote>
  <w:footnote w:id="80">
    <w:p w14:paraId="7A8017B3" w14:textId="77777777" w:rsidR="00AE2133" w:rsidRDefault="00AE2133">
      <w:pPr>
        <w:pStyle w:val="a5"/>
        <w:jc w:val="both"/>
        <w:rPr>
          <w:sz w:val="18"/>
          <w:szCs w:val="16"/>
          <w:lang w:val="en-US"/>
        </w:rPr>
      </w:pPr>
      <w:r>
        <w:rPr>
          <w:rStyle w:val="a6"/>
          <w:sz w:val="18"/>
        </w:rPr>
        <w:t>4</w:t>
      </w:r>
      <w:r>
        <w:rPr>
          <w:sz w:val="18"/>
          <w:szCs w:val="16"/>
        </w:rPr>
        <w:t xml:space="preserve"> Данный монетный двор в 373/983 г. чеканил дирхемы не с именем Фахр ад-Даула, а с именем его младшего брата последнего сына Абул Али ал Хасана Руки ад-Даула – Абул Аббаса Хосроу Фируза (Лихачев А.Ф., 1887, № 31–34). Генеологию династии Буидов изучил Е.Цамбаур (</w:t>
      </w:r>
      <w:r>
        <w:rPr>
          <w:sz w:val="18"/>
          <w:szCs w:val="16"/>
          <w:lang w:val="en-US"/>
        </w:rPr>
        <w:t>Zambaur</w:t>
      </w:r>
      <w:r>
        <w:rPr>
          <w:sz w:val="18"/>
          <w:szCs w:val="16"/>
        </w:rPr>
        <w:t xml:space="preserve"> </w:t>
      </w:r>
      <w:r>
        <w:rPr>
          <w:sz w:val="18"/>
          <w:szCs w:val="16"/>
          <w:lang w:val="en-US"/>
        </w:rPr>
        <w:t>R</w:t>
      </w:r>
      <w:r>
        <w:rPr>
          <w:sz w:val="18"/>
          <w:szCs w:val="16"/>
        </w:rPr>
        <w:t xml:space="preserve">., 1955.  </w:t>
      </w:r>
      <w:r>
        <w:rPr>
          <w:sz w:val="18"/>
          <w:szCs w:val="16"/>
          <w:lang w:val="en-US"/>
        </w:rPr>
        <w:t>Avec, tabl. Q.</w:t>
      </w:r>
    </w:p>
  </w:footnote>
  <w:footnote w:id="81">
    <w:p w14:paraId="1F1A343A" w14:textId="77777777" w:rsidR="00AE2133" w:rsidRDefault="00AE2133">
      <w:pPr>
        <w:pStyle w:val="a5"/>
        <w:jc w:val="both"/>
        <w:rPr>
          <w:sz w:val="18"/>
          <w:szCs w:val="16"/>
        </w:rPr>
      </w:pPr>
      <w:r>
        <w:rPr>
          <w:rStyle w:val="a6"/>
          <w:sz w:val="18"/>
        </w:rPr>
        <w:t>5</w:t>
      </w:r>
      <w:r>
        <w:rPr>
          <w:sz w:val="18"/>
          <w:szCs w:val="16"/>
        </w:rPr>
        <w:t xml:space="preserve"> По мнению Р.Р. Фасмера (1937. – С. 9), к 384/994 г. Хосроу Фируза уже в живых не было.</w:t>
      </w:r>
    </w:p>
  </w:footnote>
  <w:footnote w:id="82">
    <w:p w14:paraId="4B5254D5" w14:textId="77777777" w:rsidR="00AE2133" w:rsidRDefault="00AE2133">
      <w:pPr>
        <w:pStyle w:val="a5"/>
        <w:jc w:val="both"/>
        <w:rPr>
          <w:spacing w:val="-7"/>
          <w:sz w:val="18"/>
          <w:szCs w:val="16"/>
        </w:rPr>
      </w:pPr>
      <w:r>
        <w:rPr>
          <w:rStyle w:val="a6"/>
        </w:rPr>
        <w:t>6</w:t>
      </w:r>
      <w:r>
        <w:rPr>
          <w:spacing w:val="-7"/>
          <w:sz w:val="18"/>
          <w:szCs w:val="16"/>
        </w:rPr>
        <w:t xml:space="preserve"> Нишапур – на всем протяжении истории – главный город иранской провинции Хорасан. В последующее время неоднократно подвергался  нападениям. В 1157 г. огузами, в 1221 г. монголами, погиб в результате землетрясения в 1280 г. (Рашид-ад-Дин, 2002. – С. 80).</w:t>
      </w:r>
    </w:p>
  </w:footnote>
  <w:footnote w:id="83">
    <w:p w14:paraId="308D5F53" w14:textId="77777777" w:rsidR="00AE2133" w:rsidRDefault="00AE2133">
      <w:pPr>
        <w:pStyle w:val="a5"/>
        <w:jc w:val="both"/>
        <w:rPr>
          <w:spacing w:val="-2"/>
          <w:sz w:val="18"/>
          <w:szCs w:val="16"/>
        </w:rPr>
      </w:pPr>
      <w:r>
        <w:rPr>
          <w:rStyle w:val="a6"/>
        </w:rPr>
        <w:t>7</w:t>
      </w:r>
      <w:r>
        <w:rPr>
          <w:spacing w:val="-2"/>
          <w:sz w:val="18"/>
          <w:szCs w:val="16"/>
        </w:rPr>
        <w:t xml:space="preserve"> Атрибутированный совсем недавно А.А. Молчановым (1998. – С. 62–64) дирхем, находящийся в коллекции одного из нижегородских нумизматов, как чекан сына правителя Сувара Мумина ибн Ахмада Абд-ар-Рхамана ибн Мумина, датируемый 387/987–988 г на 20 лет увеличивает продолжительность эмиссию волжских булгар.</w:t>
      </w:r>
    </w:p>
  </w:footnote>
  <w:footnote w:id="84">
    <w:p w14:paraId="3A8EB4DD" w14:textId="77777777" w:rsidR="00AE2133" w:rsidRDefault="00AE2133">
      <w:pPr>
        <w:pStyle w:val="a5"/>
        <w:jc w:val="both"/>
        <w:rPr>
          <w:sz w:val="18"/>
          <w:szCs w:val="16"/>
        </w:rPr>
      </w:pPr>
      <w:r>
        <w:rPr>
          <w:rStyle w:val="a6"/>
          <w:sz w:val="18"/>
        </w:rPr>
        <w:t>8</w:t>
      </w:r>
      <w:r>
        <w:rPr>
          <w:sz w:val="18"/>
          <w:szCs w:val="16"/>
        </w:rPr>
        <w:t xml:space="preserve"> Торговые пути в Северном Хорасане, Дахистане и Хорезме археологически изучались М.Е. Массоном, Е. Аттагаррыевым, Х. Юсуповым и Д. Дурдыевым.</w:t>
      </w:r>
    </w:p>
  </w:footnote>
  <w:footnote w:id="85">
    <w:p w14:paraId="0FBD6797" w14:textId="77777777" w:rsidR="00AE2133" w:rsidRDefault="00AE2133">
      <w:pPr>
        <w:pStyle w:val="a5"/>
        <w:jc w:val="both"/>
        <w:rPr>
          <w:spacing w:val="-2"/>
          <w:sz w:val="18"/>
          <w:szCs w:val="16"/>
        </w:rPr>
      </w:pPr>
      <w:r>
        <w:rPr>
          <w:rStyle w:val="a6"/>
          <w:spacing w:val="-2"/>
        </w:rPr>
        <w:t>9</w:t>
      </w:r>
      <w:r>
        <w:rPr>
          <w:spacing w:val="-2"/>
          <w:sz w:val="18"/>
          <w:szCs w:val="16"/>
        </w:rPr>
        <w:t xml:space="preserve"> Распределение осуществлено на основании публикаций клада А.К. Маркова (1908) и Е.А. Пахомова (1957). Марков опубликовал определения 60 монет клада, ориентируясь исключительно на неординарность дирхемов, тогда как Пахомов – 77 основании определений Имп. Археологической комиссии 1905 г. В таблице 2 учтены сведения о 78 монетах клада, т.к. Пахомов привел сведения о семи монетах чекана Феравы 397 г.х. Вместе с этим, в тезисах Девятой Всероссийской нумизматической конференции И.Г. Добровольским было опубликовано сообщение  об атрибуции депаспортизированого клада восточного отделения Отдела нумизматики ГЭ, где находились, как установлено, 546 монет клада Красный (Крещенный) баран,  которые подинастийно распределяются следующим образом: Саманиды – 17 экз.; Симджуриды – 7; Илеки – 11; Бавендиды   ? – 1; Буиды – 37; Зийяриды – 5; Подражания – 1; неопределенные  (стертые) куфические дирхемы и их обломки – 316 экз. Германия – 2 экз. (Добровольский И.Г., 2001. – С. 64–65), что предполагает дальнейшую разработку данного источника.</w:t>
      </w:r>
    </w:p>
  </w:footnote>
  <w:footnote w:id="86">
    <w:p w14:paraId="703BD582" w14:textId="77777777" w:rsidR="00AE2133" w:rsidRDefault="00AE2133">
      <w:pPr>
        <w:pStyle w:val="a5"/>
        <w:jc w:val="both"/>
        <w:rPr>
          <w:sz w:val="18"/>
          <w:szCs w:val="16"/>
        </w:rPr>
      </w:pPr>
      <w:r>
        <w:rPr>
          <w:rStyle w:val="a6"/>
          <w:sz w:val="18"/>
        </w:rPr>
        <w:t>10</w:t>
      </w:r>
      <w:r>
        <w:rPr>
          <w:sz w:val="18"/>
          <w:szCs w:val="16"/>
        </w:rPr>
        <w:t xml:space="preserve"> Учитывается 79 определяемых монет.</w:t>
      </w:r>
    </w:p>
  </w:footnote>
  <w:footnote w:id="87">
    <w:p w14:paraId="427ACB45" w14:textId="77777777" w:rsidR="00AE2133" w:rsidRDefault="00AE2133">
      <w:pPr>
        <w:pStyle w:val="a5"/>
        <w:jc w:val="both"/>
        <w:rPr>
          <w:sz w:val="18"/>
          <w:szCs w:val="16"/>
        </w:rPr>
      </w:pPr>
      <w:r>
        <w:rPr>
          <w:rStyle w:val="a6"/>
          <w:sz w:val="18"/>
        </w:rPr>
        <w:t>11</w:t>
      </w:r>
      <w:r>
        <w:rPr>
          <w:sz w:val="18"/>
          <w:szCs w:val="16"/>
        </w:rPr>
        <w:t xml:space="preserve"> Последнее устанавливается по результатам изучения кладов, выпавших на территории Волжской Булгарии в 70-х – 80-х гг. Х в. (Фомин А.В., 1995. – С. 66, 69, 72; Хан Н.А., 2002).</w:t>
      </w:r>
    </w:p>
  </w:footnote>
  <w:footnote w:id="88">
    <w:p w14:paraId="7BD4F765" w14:textId="77777777" w:rsidR="00AE2133" w:rsidRDefault="00AE2133">
      <w:pPr>
        <w:pStyle w:val="a5"/>
        <w:jc w:val="both"/>
        <w:rPr>
          <w:sz w:val="18"/>
          <w:szCs w:val="16"/>
        </w:rPr>
      </w:pPr>
      <w:r>
        <w:rPr>
          <w:rStyle w:val="a6"/>
          <w:sz w:val="18"/>
        </w:rPr>
        <w:t>12</w:t>
      </w:r>
      <w:r>
        <w:rPr>
          <w:sz w:val="18"/>
          <w:szCs w:val="16"/>
        </w:rPr>
        <w:t xml:space="preserve"> Общую ситуацию на 1020 г. в Западной, Центральной Азии и Индии, представлена Б. Шпулером (</w:t>
      </w:r>
      <w:r>
        <w:rPr>
          <w:sz w:val="18"/>
          <w:szCs w:val="16"/>
          <w:lang w:val="en-US"/>
        </w:rPr>
        <w:t>Spuler</w:t>
      </w:r>
      <w:r>
        <w:rPr>
          <w:sz w:val="18"/>
          <w:szCs w:val="16"/>
        </w:rPr>
        <w:t xml:space="preserve"> </w:t>
      </w:r>
      <w:r>
        <w:rPr>
          <w:sz w:val="18"/>
          <w:szCs w:val="16"/>
          <w:lang w:val="en-US"/>
        </w:rPr>
        <w:t>B</w:t>
      </w:r>
      <w:r>
        <w:rPr>
          <w:sz w:val="18"/>
          <w:szCs w:val="16"/>
        </w:rPr>
        <w:t>., 1952, карта между с. 80 и 81).</w:t>
      </w:r>
    </w:p>
  </w:footnote>
  <w:footnote w:id="89">
    <w:p w14:paraId="3423DC06" w14:textId="77777777" w:rsidR="00AE2133" w:rsidRDefault="00AE2133">
      <w:pPr>
        <w:pStyle w:val="a5"/>
        <w:jc w:val="both"/>
        <w:rPr>
          <w:sz w:val="18"/>
          <w:szCs w:val="16"/>
        </w:rPr>
      </w:pPr>
      <w:r>
        <w:rPr>
          <w:rStyle w:val="a6"/>
          <w:sz w:val="18"/>
        </w:rPr>
        <w:t>13</w:t>
      </w:r>
      <w:r>
        <w:rPr>
          <w:sz w:val="18"/>
          <w:szCs w:val="16"/>
        </w:rPr>
        <w:t xml:space="preserve"> Благодаря А.А. Спицыну, известен дирхем рассматриваемой династии, найденный на верхней Каме с «открытой» датой 990–998 гг. (Марков А.К., 1910. – С. 139, № 19), который мог поступить в ВКА по Сухоно-Вычегодскому пути.</w:t>
      </w:r>
    </w:p>
  </w:footnote>
  <w:footnote w:id="90">
    <w:p w14:paraId="5EBC8F3F" w14:textId="77777777" w:rsidR="00AE2133" w:rsidRDefault="00AE2133">
      <w:pPr>
        <w:pStyle w:val="a5"/>
        <w:rPr>
          <w:sz w:val="18"/>
          <w:szCs w:val="16"/>
        </w:rPr>
      </w:pPr>
      <w:r>
        <w:rPr>
          <w:rStyle w:val="a6"/>
          <w:sz w:val="18"/>
        </w:rPr>
        <w:t>1</w:t>
      </w:r>
      <w:r>
        <w:rPr>
          <w:sz w:val="18"/>
          <w:szCs w:val="16"/>
        </w:rPr>
        <w:t xml:space="preserve"> См. Очерк 5.</w:t>
      </w:r>
    </w:p>
  </w:footnote>
  <w:footnote w:id="91">
    <w:p w14:paraId="02D03F27" w14:textId="77777777" w:rsidR="00AE2133" w:rsidRDefault="00AE2133">
      <w:pPr>
        <w:pStyle w:val="a5"/>
        <w:rPr>
          <w:sz w:val="18"/>
          <w:szCs w:val="16"/>
        </w:rPr>
      </w:pPr>
      <w:r>
        <w:rPr>
          <w:rStyle w:val="a6"/>
          <w:sz w:val="18"/>
        </w:rPr>
        <w:t>2</w:t>
      </w:r>
      <w:r>
        <w:rPr>
          <w:sz w:val="18"/>
          <w:szCs w:val="16"/>
        </w:rPr>
        <w:t xml:space="preserve"> См. Очерк 2.</w:t>
      </w:r>
    </w:p>
  </w:footnote>
  <w:footnote w:id="92">
    <w:p w14:paraId="0A1377CA" w14:textId="77777777" w:rsidR="00AE2133" w:rsidRDefault="00AE2133">
      <w:pPr>
        <w:pStyle w:val="a5"/>
        <w:jc w:val="both"/>
        <w:rPr>
          <w:sz w:val="18"/>
          <w:szCs w:val="16"/>
        </w:rPr>
      </w:pPr>
      <w:r>
        <w:rPr>
          <w:rStyle w:val="a6"/>
          <w:sz w:val="18"/>
        </w:rPr>
        <w:t>3</w:t>
      </w:r>
      <w:r>
        <w:rPr>
          <w:sz w:val="18"/>
          <w:szCs w:val="16"/>
        </w:rPr>
        <w:t xml:space="preserve"> В кладе, найденном около эстонского города Феллина (Марков А.К., 1910. – С. 142, № 36) дирхем династии Окайлидов был отчеканен в 389/998–999 в Мосуле. Известен дирхем данной династии, найденный на верхней Каме со стертой датой 990–998 гг. (Марков А.К., 1910. – С. 139, № 19) аналогичный дирхемам Дегтянского (387/997) и рассматриваемых эстонских кладов. Отсутствие дирхемов данной династии в кладах Волжской Булгарии позволяет заключить, что они транзитом проходили среднюю Волгу.</w:t>
      </w:r>
    </w:p>
  </w:footnote>
  <w:footnote w:id="93">
    <w:p w14:paraId="27E731D7" w14:textId="77777777" w:rsidR="00AE2133" w:rsidRDefault="00AE2133">
      <w:pPr>
        <w:pStyle w:val="a5"/>
        <w:rPr>
          <w:sz w:val="18"/>
          <w:szCs w:val="16"/>
        </w:rPr>
      </w:pPr>
      <w:r>
        <w:rPr>
          <w:rStyle w:val="a6"/>
          <w:sz w:val="18"/>
        </w:rPr>
        <w:t>4</w:t>
      </w:r>
      <w:r>
        <w:rPr>
          <w:sz w:val="18"/>
          <w:szCs w:val="16"/>
        </w:rPr>
        <w:t xml:space="preserve"> Подробней см. Очерк 3.</w:t>
      </w:r>
    </w:p>
  </w:footnote>
  <w:footnote w:id="94">
    <w:p w14:paraId="6B6FCB14" w14:textId="77777777" w:rsidR="00AE2133" w:rsidRDefault="00AE2133">
      <w:pPr>
        <w:pStyle w:val="a5"/>
        <w:jc w:val="both"/>
        <w:rPr>
          <w:sz w:val="18"/>
        </w:rPr>
      </w:pPr>
      <w:r>
        <w:rPr>
          <w:rStyle w:val="a6"/>
          <w:sz w:val="18"/>
        </w:rPr>
        <w:t>1</w:t>
      </w:r>
      <w:r>
        <w:rPr>
          <w:sz w:val="18"/>
        </w:rPr>
        <w:t xml:space="preserve"> Титулатура правителя изучена Р.Г. Фахрутдиновым и  Л.Р. Кызласовым. См.: Л.Р. Кызласов. /Рец./. Р.Г. Фахрутдинов. Очерки по истории Волжской Булгарии. М.: Наука, 1984. – 216 с. // СА. 1986. – № 3. – С. 284.</w:t>
      </w:r>
    </w:p>
  </w:footnote>
  <w:footnote w:id="95">
    <w:p w14:paraId="3ACEA1E2" w14:textId="77777777" w:rsidR="00AE2133" w:rsidRDefault="00AE2133">
      <w:pPr>
        <w:pStyle w:val="a5"/>
        <w:jc w:val="both"/>
        <w:rPr>
          <w:sz w:val="18"/>
        </w:rPr>
      </w:pPr>
      <w:r>
        <w:rPr>
          <w:rStyle w:val="a6"/>
          <w:sz w:val="18"/>
        </w:rPr>
        <w:t>2</w:t>
      </w:r>
      <w:r>
        <w:rPr>
          <w:sz w:val="18"/>
        </w:rPr>
        <w:t xml:space="preserve"> Ковалевский А.П. Книга Ахмеда Ибн-Фадлана о его путешествии на Волгу в  921-922 гг. Харьков: Изд-во Харьковского госуниверситета, 1956. – С. 138–139.</w:t>
      </w:r>
    </w:p>
  </w:footnote>
  <w:footnote w:id="96">
    <w:p w14:paraId="242534A5" w14:textId="77777777" w:rsidR="00AE2133" w:rsidRDefault="00AE2133">
      <w:pPr>
        <w:jc w:val="both"/>
        <w:rPr>
          <w:spacing w:val="-2"/>
          <w:sz w:val="18"/>
        </w:rPr>
      </w:pPr>
      <w:r>
        <w:rPr>
          <w:rStyle w:val="a6"/>
          <w:spacing w:val="-2"/>
          <w:sz w:val="20"/>
          <w:szCs w:val="20"/>
        </w:rPr>
        <w:t>3</w:t>
      </w:r>
      <w:r>
        <w:rPr>
          <w:spacing w:val="-2"/>
          <w:sz w:val="18"/>
        </w:rPr>
        <w:t xml:space="preserve"> Путешествие Абу Хамида ал-Гарнати в Восточную и Центральную Европу (1131–1153 гг) / Публ. О.Г. Большакова, А.Л. Монгайта. М., 1971. – С. 31, 58–59. Древняя Русь в свете зарубежных источников / Под ред. Е.А. Мельниковой. М.: Логос, 1999. – С. 245. Из страны Йюра происходил наилучший соболь писал ал-Марвази. См.: Заходер Б.Н. Каспийский свод сведений о Восточной Европе. Горган и Поволжье в IX–Х вв. М.: Изд-во «Восточная литература», 1962. – С. 114–115.</w:t>
      </w:r>
    </w:p>
  </w:footnote>
  <w:footnote w:id="97">
    <w:p w14:paraId="426153BD" w14:textId="77777777" w:rsidR="00AE2133" w:rsidRDefault="00AE2133">
      <w:pPr>
        <w:jc w:val="both"/>
        <w:rPr>
          <w:sz w:val="18"/>
        </w:rPr>
      </w:pPr>
      <w:r>
        <w:rPr>
          <w:rStyle w:val="a6"/>
          <w:sz w:val="18"/>
          <w:szCs w:val="20"/>
        </w:rPr>
        <w:t>4</w:t>
      </w:r>
      <w:r>
        <w:rPr>
          <w:sz w:val="18"/>
        </w:rPr>
        <w:t xml:space="preserve"> Заходер Б.Н. Указ.соч. – С. 92.</w:t>
      </w:r>
    </w:p>
  </w:footnote>
  <w:footnote w:id="98">
    <w:p w14:paraId="2AD66389" w14:textId="77777777" w:rsidR="00AE2133" w:rsidRDefault="00AE2133">
      <w:pPr>
        <w:pStyle w:val="a5"/>
        <w:jc w:val="both"/>
        <w:rPr>
          <w:sz w:val="18"/>
        </w:rPr>
      </w:pPr>
      <w:r>
        <w:rPr>
          <w:rStyle w:val="a6"/>
          <w:sz w:val="18"/>
        </w:rPr>
        <w:t>5</w:t>
      </w:r>
      <w:r>
        <w:rPr>
          <w:sz w:val="18"/>
        </w:rPr>
        <w:t xml:space="preserve"> Пастушенко И.Ю. История населения р.Сылвы впервой половине второго тысячелетия н.э. // Автореф.дис. … канд. ист.наук. Ижевск, 1995. – С. 9–10.</w:t>
      </w:r>
    </w:p>
  </w:footnote>
  <w:footnote w:id="99">
    <w:p w14:paraId="7DB54B7E" w14:textId="77777777" w:rsidR="00AE2133" w:rsidRDefault="00AE2133">
      <w:pPr>
        <w:jc w:val="both"/>
        <w:rPr>
          <w:sz w:val="18"/>
        </w:rPr>
      </w:pPr>
      <w:r>
        <w:rPr>
          <w:rStyle w:val="a6"/>
          <w:sz w:val="18"/>
          <w:szCs w:val="20"/>
        </w:rPr>
        <w:t>6</w:t>
      </w:r>
      <w:r>
        <w:rPr>
          <w:sz w:val="18"/>
        </w:rPr>
        <w:t xml:space="preserve"> </w:t>
      </w:r>
      <w:r>
        <w:rPr>
          <w:sz w:val="18"/>
          <w:szCs w:val="16"/>
        </w:rPr>
        <w:t>Иванов А.Г. Этнокультурные и экономические связи населения бассейна р. Чепца в эпоху средневековья: конец V – первая половина Х</w:t>
      </w:r>
      <w:r>
        <w:rPr>
          <w:sz w:val="18"/>
          <w:szCs w:val="16"/>
          <w:lang w:val="en-US"/>
        </w:rPr>
        <w:t>III</w:t>
      </w:r>
      <w:r>
        <w:rPr>
          <w:sz w:val="18"/>
          <w:szCs w:val="16"/>
        </w:rPr>
        <w:t xml:space="preserve"> вв. Ижевск. 1998. – С. 206–207. рис. 24.</w:t>
      </w:r>
    </w:p>
  </w:footnote>
  <w:footnote w:id="100">
    <w:p w14:paraId="2F1E20FA" w14:textId="77777777" w:rsidR="00AE2133" w:rsidRDefault="00AE2133">
      <w:pPr>
        <w:pStyle w:val="a5"/>
        <w:jc w:val="both"/>
        <w:rPr>
          <w:sz w:val="18"/>
        </w:rPr>
      </w:pPr>
      <w:r>
        <w:rPr>
          <w:rStyle w:val="a6"/>
          <w:sz w:val="18"/>
        </w:rPr>
        <w:t>7</w:t>
      </w:r>
      <w:r>
        <w:rPr>
          <w:sz w:val="18"/>
        </w:rPr>
        <w:t xml:space="preserve"> Хвощинская Н.В. Подковообразные фибулы Рюрикова городища // Великий Новгород в истории средневековой Европы. К 70-летию Валентина Лаврентьевича Янина. М.: Русские словари, 1999. – С. 3945.</w:t>
      </w:r>
    </w:p>
  </w:footnote>
  <w:footnote w:id="101">
    <w:p w14:paraId="31E3E891" w14:textId="77777777" w:rsidR="00AE2133" w:rsidRDefault="00AE2133">
      <w:pPr>
        <w:pStyle w:val="a5"/>
        <w:rPr>
          <w:sz w:val="18"/>
          <w:lang w:val="en-US"/>
        </w:rPr>
      </w:pPr>
      <w:r>
        <w:rPr>
          <w:rStyle w:val="a6"/>
          <w:sz w:val="18"/>
          <w:lang w:val="en-US"/>
        </w:rPr>
        <w:t>8</w:t>
      </w:r>
      <w:r>
        <w:rPr>
          <w:sz w:val="18"/>
          <w:lang w:val="en-US"/>
        </w:rPr>
        <w:t xml:space="preserve"> Arne T.J. Le Swede et l’Orient. Upsula. 1914. – </w:t>
      </w:r>
      <w:r>
        <w:rPr>
          <w:sz w:val="18"/>
        </w:rPr>
        <w:t>Р</w:t>
      </w:r>
      <w:r>
        <w:rPr>
          <w:sz w:val="18"/>
          <w:lang w:val="en-US"/>
        </w:rPr>
        <w:t>. 165–168.</w:t>
      </w:r>
    </w:p>
  </w:footnote>
  <w:footnote w:id="102">
    <w:p w14:paraId="0F5DE309" w14:textId="77777777" w:rsidR="00AE2133" w:rsidRDefault="00AE2133">
      <w:pPr>
        <w:jc w:val="both"/>
        <w:rPr>
          <w:sz w:val="18"/>
        </w:rPr>
      </w:pPr>
      <w:r>
        <w:rPr>
          <w:rStyle w:val="a6"/>
          <w:sz w:val="18"/>
          <w:szCs w:val="20"/>
          <w:lang w:val="en-US"/>
        </w:rPr>
        <w:t>9</w:t>
      </w:r>
      <w:r>
        <w:rPr>
          <w:sz w:val="18"/>
          <w:lang w:val="en-US"/>
        </w:rPr>
        <w:t xml:space="preserve"> </w:t>
      </w:r>
      <w:r>
        <w:rPr>
          <w:sz w:val="18"/>
        </w:rPr>
        <w:t>Янин</w:t>
      </w:r>
      <w:r>
        <w:rPr>
          <w:sz w:val="18"/>
          <w:lang w:val="en-US"/>
        </w:rPr>
        <w:t xml:space="preserve"> </w:t>
      </w:r>
      <w:r>
        <w:rPr>
          <w:sz w:val="18"/>
        </w:rPr>
        <w:t>В</w:t>
      </w:r>
      <w:r>
        <w:rPr>
          <w:sz w:val="18"/>
          <w:lang w:val="en-US"/>
        </w:rPr>
        <w:t>.</w:t>
      </w:r>
      <w:r>
        <w:rPr>
          <w:sz w:val="18"/>
        </w:rPr>
        <w:t>Л</w:t>
      </w:r>
      <w:r>
        <w:rPr>
          <w:sz w:val="18"/>
          <w:lang w:val="en-US"/>
        </w:rPr>
        <w:t xml:space="preserve">., 1956. </w:t>
      </w:r>
      <w:r>
        <w:rPr>
          <w:sz w:val="18"/>
        </w:rPr>
        <w:t>Денежно-весовые системы русского средневековья. Домонгольский период. М.: Изд-во МГУ. – С. 202.</w:t>
      </w:r>
    </w:p>
  </w:footnote>
  <w:footnote w:id="103">
    <w:p w14:paraId="1FDB9A60" w14:textId="77777777" w:rsidR="00AE2133" w:rsidRDefault="00AE2133">
      <w:pPr>
        <w:pStyle w:val="a5"/>
        <w:jc w:val="both"/>
        <w:rPr>
          <w:sz w:val="18"/>
        </w:rPr>
      </w:pPr>
      <w:r>
        <w:rPr>
          <w:rStyle w:val="a6"/>
          <w:sz w:val="18"/>
        </w:rPr>
        <w:t>10</w:t>
      </w:r>
      <w:r>
        <w:rPr>
          <w:sz w:val="18"/>
        </w:rPr>
        <w:t xml:space="preserve"> Крыласова Н.Б. История прикамского костюма. Пермь: Пермский гос. пед. ун-т, 2001. – С. 86.</w:t>
      </w:r>
    </w:p>
  </w:footnote>
  <w:footnote w:id="104">
    <w:p w14:paraId="46BE2101" w14:textId="77777777" w:rsidR="00AE2133" w:rsidRDefault="00AE2133">
      <w:pPr>
        <w:pStyle w:val="a5"/>
        <w:jc w:val="both"/>
        <w:rPr>
          <w:sz w:val="18"/>
        </w:rPr>
      </w:pPr>
      <w:r>
        <w:rPr>
          <w:rStyle w:val="a6"/>
          <w:sz w:val="18"/>
        </w:rPr>
        <w:t>11</w:t>
      </w:r>
      <w:r>
        <w:rPr>
          <w:sz w:val="18"/>
        </w:rPr>
        <w:t xml:space="preserve"> Зеленин Д.К. Кама и Вятка. Путеводитель  и этнографическое описание Прикамья. Юрьев, 1904. – С. 75–76; Владыкин В.Е., Религиозно-мифологическая картина мира удмуртов. – Ижевск: Удмуртия. 1994. – С. 100–104.</w:t>
      </w:r>
    </w:p>
  </w:footnote>
  <w:footnote w:id="105">
    <w:p w14:paraId="0704EBD3" w14:textId="77777777" w:rsidR="00AE2133" w:rsidRDefault="00AE2133">
      <w:pPr>
        <w:jc w:val="both"/>
        <w:rPr>
          <w:sz w:val="18"/>
        </w:rPr>
      </w:pPr>
      <w:r>
        <w:rPr>
          <w:rStyle w:val="a6"/>
          <w:sz w:val="18"/>
          <w:szCs w:val="20"/>
        </w:rPr>
        <w:t>12</w:t>
      </w:r>
      <w:r>
        <w:rPr>
          <w:sz w:val="18"/>
        </w:rPr>
        <w:t xml:space="preserve"> Хан Н.А. О денежно-весовых нормах населения Вятско-Камского ареала в IX–XI вв. // Шведы и русский Север: историко-культурные связи / Отв.ред. В.В. Низов. Киров. 1997. – С. 58–59. См. также: Назаренко А.В., Происхождение древнерусского денежно-весового счета // ДГ 1994. М.: Арахеографич.центр, 1996. – С. 16, 42 и прим. 42.</w:t>
      </w:r>
    </w:p>
  </w:footnote>
  <w:footnote w:id="106">
    <w:p w14:paraId="62D7A390" w14:textId="77777777" w:rsidR="00AE2133" w:rsidRDefault="00AE2133">
      <w:pPr>
        <w:pStyle w:val="a5"/>
        <w:jc w:val="both"/>
        <w:rPr>
          <w:spacing w:val="-4"/>
          <w:sz w:val="18"/>
        </w:rPr>
      </w:pPr>
      <w:r>
        <w:rPr>
          <w:rStyle w:val="a6"/>
          <w:spacing w:val="-4"/>
          <w:sz w:val="18"/>
        </w:rPr>
        <w:t>13</w:t>
      </w:r>
      <w:r>
        <w:rPr>
          <w:spacing w:val="-4"/>
          <w:sz w:val="18"/>
        </w:rPr>
        <w:t xml:space="preserve"> Иванова М.Г. Городище Гурьякар. Результаты исследований 1979 г. // Средневековые памятники бассейна р.Чепцы. Ижевск: УдНИИ, 1982. – С. 17, рис. 10.</w:t>
      </w:r>
    </w:p>
  </w:footnote>
  <w:footnote w:id="107">
    <w:p w14:paraId="05AAC812" w14:textId="77777777" w:rsidR="00AE2133" w:rsidRDefault="00AE2133">
      <w:pPr>
        <w:pStyle w:val="a5"/>
        <w:jc w:val="both"/>
        <w:rPr>
          <w:sz w:val="18"/>
        </w:rPr>
      </w:pPr>
      <w:r>
        <w:rPr>
          <w:rStyle w:val="a6"/>
          <w:sz w:val="18"/>
        </w:rPr>
        <w:t>14</w:t>
      </w:r>
      <w:r>
        <w:rPr>
          <w:sz w:val="18"/>
        </w:rPr>
        <w:t xml:space="preserve"> Материал нумизматической коллекции фондов автору любезно предоставила Е.Ю. Мокерова.</w:t>
      </w:r>
    </w:p>
  </w:footnote>
  <w:footnote w:id="108">
    <w:p w14:paraId="03CA1E94" w14:textId="77777777" w:rsidR="00AE2133" w:rsidRDefault="00AE2133">
      <w:pPr>
        <w:pStyle w:val="a5"/>
        <w:jc w:val="both"/>
        <w:rPr>
          <w:sz w:val="18"/>
        </w:rPr>
      </w:pPr>
      <w:r>
        <w:rPr>
          <w:rStyle w:val="a6"/>
          <w:sz w:val="18"/>
        </w:rPr>
        <w:t>15</w:t>
      </w:r>
      <w:r>
        <w:rPr>
          <w:sz w:val="18"/>
        </w:rPr>
        <w:t xml:space="preserve"> Спицын А.А. Приуральский край. Археологические разыскания о древних обитателях Вятской губернии. Материалы по археологии восточных губерний России. Вып.1). М., 1893. – С. 82.</w:t>
      </w:r>
    </w:p>
  </w:footnote>
  <w:footnote w:id="109">
    <w:p w14:paraId="7C03C48A" w14:textId="77777777" w:rsidR="00AE2133" w:rsidRDefault="00AE2133">
      <w:pPr>
        <w:pStyle w:val="a5"/>
        <w:jc w:val="both"/>
        <w:rPr>
          <w:spacing w:val="-5"/>
          <w:sz w:val="18"/>
        </w:rPr>
      </w:pPr>
      <w:r>
        <w:rPr>
          <w:rStyle w:val="a6"/>
          <w:spacing w:val="-5"/>
          <w:sz w:val="18"/>
        </w:rPr>
        <w:t>16</w:t>
      </w:r>
      <w:r>
        <w:rPr>
          <w:spacing w:val="-5"/>
          <w:sz w:val="18"/>
        </w:rPr>
        <w:t xml:space="preserve"> Назаренко А.В. Скандинавская марка и древнерусская гривна серебра // Нумизматика на рубеже веков. Нумизмат.сборник. Ч.</w:t>
      </w:r>
      <w:r>
        <w:rPr>
          <w:spacing w:val="-5"/>
          <w:sz w:val="18"/>
          <w:lang w:val="en-US"/>
        </w:rPr>
        <w:t>IV</w:t>
      </w:r>
      <w:r>
        <w:rPr>
          <w:spacing w:val="-5"/>
          <w:sz w:val="18"/>
        </w:rPr>
        <w:t>. М., 2001. (Тр.ГИМ. Вып. 125). – С. 80–84.</w:t>
      </w:r>
    </w:p>
  </w:footnote>
  <w:footnote w:id="110">
    <w:p w14:paraId="3797EBDA" w14:textId="77777777" w:rsidR="00AE2133" w:rsidRDefault="00AE2133">
      <w:pPr>
        <w:pStyle w:val="a5"/>
        <w:jc w:val="both"/>
        <w:rPr>
          <w:sz w:val="18"/>
        </w:rPr>
      </w:pPr>
      <w:r>
        <w:rPr>
          <w:rStyle w:val="a6"/>
          <w:sz w:val="18"/>
        </w:rPr>
        <w:t>17</w:t>
      </w:r>
      <w:r>
        <w:rPr>
          <w:sz w:val="18"/>
        </w:rPr>
        <w:t xml:space="preserve"> Фомин А.В.  Русь и Хазария в международной торговле серебром в IX в. // Внешняя политика Древней Руси. Тез.докл. М., 1988. – С. 111–112. Он же. Топография кладов куфических монет в междуречье Днепра и Двины // Чернигов и его округа в IX–Х</w:t>
      </w:r>
      <w:r>
        <w:rPr>
          <w:sz w:val="18"/>
          <w:lang w:val="en-US"/>
        </w:rPr>
        <w:t>III</w:t>
      </w:r>
      <w:r>
        <w:rPr>
          <w:sz w:val="18"/>
        </w:rPr>
        <w:t xml:space="preserve"> вв. Сб.научных трудов. Киев: Наук.думка. 1988. – С. 80.</w:t>
      </w:r>
    </w:p>
  </w:footnote>
  <w:footnote w:id="111">
    <w:p w14:paraId="5A3FDEA3" w14:textId="77777777" w:rsidR="00AE2133" w:rsidRDefault="00AE2133">
      <w:pPr>
        <w:pStyle w:val="a5"/>
        <w:jc w:val="both"/>
        <w:rPr>
          <w:spacing w:val="-4"/>
          <w:sz w:val="18"/>
        </w:rPr>
      </w:pPr>
      <w:r>
        <w:rPr>
          <w:rStyle w:val="a6"/>
          <w:spacing w:val="-4"/>
          <w:sz w:val="18"/>
        </w:rPr>
        <w:t>18</w:t>
      </w:r>
      <w:r>
        <w:rPr>
          <w:spacing w:val="-4"/>
          <w:sz w:val="18"/>
        </w:rPr>
        <w:t xml:space="preserve"> В. Хинцем отмечена ближневосточная стеклянная гиря весом 76,23 г., соотнесенная исследователем с 18 мискалями – классического золотого арабского динара весом в 4,235 г., что открывает новую еще не познанную источникоую ценность рассматриваемого памятника. См</w:t>
      </w:r>
      <w:r>
        <w:rPr>
          <w:spacing w:val="-4"/>
          <w:sz w:val="18"/>
          <w:lang w:val="en-US"/>
        </w:rPr>
        <w:t xml:space="preserve">.: </w:t>
      </w:r>
      <w:r>
        <w:rPr>
          <w:spacing w:val="-4"/>
          <w:sz w:val="18"/>
          <w:szCs w:val="28"/>
          <w:lang w:val="en-US"/>
        </w:rPr>
        <w:t xml:space="preserve">Hinz W. Islamiche masse und gewichte ungerechnet ins metrishe system. Leiden: E.J. Brill, 1955. – S. 1–2; </w:t>
      </w:r>
      <w:r>
        <w:rPr>
          <w:spacing w:val="-4"/>
          <w:sz w:val="18"/>
        </w:rPr>
        <w:t>Хинц</w:t>
      </w:r>
      <w:r>
        <w:rPr>
          <w:spacing w:val="-4"/>
          <w:sz w:val="18"/>
          <w:lang w:val="en-US"/>
        </w:rPr>
        <w:t xml:space="preserve"> </w:t>
      </w:r>
      <w:r>
        <w:rPr>
          <w:spacing w:val="-4"/>
          <w:sz w:val="18"/>
        </w:rPr>
        <w:t>В</w:t>
      </w:r>
      <w:r>
        <w:rPr>
          <w:spacing w:val="-4"/>
          <w:sz w:val="18"/>
          <w:lang w:val="en-US"/>
        </w:rPr>
        <w:t xml:space="preserve">. 1970. </w:t>
      </w:r>
      <w:r>
        <w:rPr>
          <w:spacing w:val="-4"/>
          <w:sz w:val="18"/>
        </w:rPr>
        <w:t>Мусульманские меры веса с переводом в метрическую систему М.: Наука. «ВЛ». – С. 11.</w:t>
      </w:r>
    </w:p>
  </w:footnote>
  <w:footnote w:id="112">
    <w:p w14:paraId="5F4D0840" w14:textId="77777777" w:rsidR="00AE2133" w:rsidRDefault="00AE2133">
      <w:pPr>
        <w:pStyle w:val="a5"/>
        <w:jc w:val="both"/>
        <w:rPr>
          <w:sz w:val="18"/>
        </w:rPr>
      </w:pPr>
      <w:r>
        <w:rPr>
          <w:rStyle w:val="a6"/>
          <w:sz w:val="18"/>
        </w:rPr>
        <w:t>19</w:t>
      </w:r>
      <w:r>
        <w:rPr>
          <w:sz w:val="18"/>
        </w:rPr>
        <w:t xml:space="preserve"> Голдина Р.Д. 1999. Древняя и средневековая история удмуртского народа. Ижевск: Изд-й дом «Удмуртский университет». – С. 312–313, 343–344: Крыласова Н.Б. Указ.соч. – С. 82.</w:t>
      </w:r>
    </w:p>
  </w:footnote>
  <w:footnote w:id="113">
    <w:p w14:paraId="294274D0" w14:textId="77777777" w:rsidR="00AE2133" w:rsidRDefault="00AE2133">
      <w:pPr>
        <w:pStyle w:val="a5"/>
        <w:jc w:val="both"/>
        <w:rPr>
          <w:sz w:val="18"/>
        </w:rPr>
      </w:pPr>
      <w:r>
        <w:rPr>
          <w:rStyle w:val="a6"/>
          <w:sz w:val="18"/>
        </w:rPr>
        <w:t>20</w:t>
      </w:r>
      <w:r>
        <w:rPr>
          <w:sz w:val="18"/>
        </w:rPr>
        <w:t xml:space="preserve"> Здесь мы воспользовались методикой В.Л. Янина, изложенной в книге 1956 г., когда исследователь установил начало денежного обращения на земле древних славян в 770–780-х гг., что нашло отражение в современной историографии, в частности в работах Е.Н. Носова и А.Н. Кирпичникова. См.также: Фомин А.В.  Русь и Хазария, с. 112–113).</w:t>
      </w:r>
    </w:p>
  </w:footnote>
  <w:footnote w:id="114">
    <w:p w14:paraId="7588292C" w14:textId="77777777" w:rsidR="00AE2133" w:rsidRDefault="00AE2133">
      <w:pPr>
        <w:pStyle w:val="a5"/>
        <w:jc w:val="both"/>
        <w:rPr>
          <w:sz w:val="18"/>
        </w:rPr>
      </w:pPr>
      <w:r>
        <w:rPr>
          <w:rStyle w:val="a6"/>
          <w:sz w:val="18"/>
        </w:rPr>
        <w:t>21</w:t>
      </w:r>
      <w:r>
        <w:rPr>
          <w:sz w:val="18"/>
        </w:rPr>
        <w:t xml:space="preserve"> См. например: Владыкин В.Е., Религиозно-мифологическая картина мира удмуртов. – Ижевск: Удмуртия. 1994. – С. 99.</w:t>
      </w:r>
    </w:p>
  </w:footnote>
  <w:footnote w:id="115">
    <w:p w14:paraId="03A0867B" w14:textId="77777777" w:rsidR="00AE2133" w:rsidRDefault="00AE2133">
      <w:pPr>
        <w:pStyle w:val="a5"/>
        <w:jc w:val="both"/>
        <w:rPr>
          <w:sz w:val="18"/>
        </w:rPr>
      </w:pPr>
      <w:r>
        <w:rPr>
          <w:rStyle w:val="a6"/>
          <w:sz w:val="18"/>
        </w:rPr>
        <w:t>22</w:t>
      </w:r>
      <w:r>
        <w:rPr>
          <w:sz w:val="18"/>
        </w:rPr>
        <w:t xml:space="preserve"> См. например: Владыкин В.Е., Религиозно-мифологическая картина мира удмуртов. – Ижевск: Удмуртия. 1994. – С. 99.</w:t>
      </w:r>
    </w:p>
  </w:footnote>
  <w:footnote w:id="116">
    <w:p w14:paraId="4053DC26" w14:textId="77777777" w:rsidR="00AE2133" w:rsidRDefault="00AE2133">
      <w:pPr>
        <w:pStyle w:val="a5"/>
        <w:jc w:val="both"/>
        <w:rPr>
          <w:sz w:val="18"/>
        </w:rPr>
      </w:pPr>
      <w:r>
        <w:rPr>
          <w:rStyle w:val="a6"/>
          <w:sz w:val="18"/>
        </w:rPr>
        <w:t>23</w:t>
      </w:r>
      <w:r>
        <w:rPr>
          <w:sz w:val="18"/>
        </w:rPr>
        <w:t xml:space="preserve"> Флоря Б.Н. 1967. Коми-Вымская летопись // Новое о прошлом нашей страны.</w:t>
      </w:r>
      <w:r>
        <w:rPr>
          <w:b/>
          <w:sz w:val="18"/>
        </w:rPr>
        <w:t xml:space="preserve"> </w:t>
      </w:r>
      <w:r>
        <w:rPr>
          <w:sz w:val="18"/>
        </w:rPr>
        <w:t>Памяти академика М.Н. Тихомирова. М.: Наука. – С. 225.</w:t>
      </w:r>
    </w:p>
  </w:footnote>
  <w:footnote w:id="117">
    <w:p w14:paraId="6C3171DF" w14:textId="77777777" w:rsidR="00AE2133" w:rsidRDefault="00AE2133">
      <w:pPr>
        <w:jc w:val="both"/>
        <w:rPr>
          <w:sz w:val="18"/>
        </w:rPr>
      </w:pPr>
      <w:r>
        <w:rPr>
          <w:rStyle w:val="a6"/>
          <w:sz w:val="18"/>
          <w:szCs w:val="20"/>
        </w:rPr>
        <w:t>24</w:t>
      </w:r>
      <w:r>
        <w:rPr>
          <w:sz w:val="18"/>
        </w:rPr>
        <w:t xml:space="preserve"> Хан Н.А. Историко-географические локусы Перми в период средневековья // Международное (</w:t>
      </w:r>
      <w:r>
        <w:rPr>
          <w:sz w:val="18"/>
          <w:lang w:val="en-US"/>
        </w:rPr>
        <w:t>XVI</w:t>
      </w:r>
      <w:r>
        <w:rPr>
          <w:sz w:val="18"/>
        </w:rPr>
        <w:t xml:space="preserve"> Уральское) археологическое совещание. ММНК 6–10 октября. Пермь, 2003. – С. 177–179.</w:t>
      </w:r>
    </w:p>
  </w:footnote>
  <w:footnote w:id="118">
    <w:p w14:paraId="3FEA7092" w14:textId="77777777" w:rsidR="00AE2133" w:rsidRDefault="00AE2133">
      <w:pPr>
        <w:jc w:val="both"/>
        <w:rPr>
          <w:sz w:val="18"/>
        </w:rPr>
      </w:pPr>
      <w:r>
        <w:rPr>
          <w:rStyle w:val="a6"/>
          <w:sz w:val="18"/>
          <w:szCs w:val="20"/>
        </w:rPr>
        <w:t>25</w:t>
      </w:r>
      <w:r>
        <w:rPr>
          <w:sz w:val="18"/>
        </w:rPr>
        <w:t xml:space="preserve"> Новосельцев, А.П. Хазарское государство и его роль в истории Восточной Европы и Кавказа. М.: Наука. 1990. – С. 19, 248; Древняя Русь. – С. 102.</w:t>
      </w:r>
    </w:p>
  </w:footnote>
  <w:footnote w:id="119">
    <w:p w14:paraId="1FED74EC" w14:textId="77777777" w:rsidR="00AE2133" w:rsidRDefault="00AE2133">
      <w:pPr>
        <w:pStyle w:val="a5"/>
        <w:jc w:val="both"/>
        <w:rPr>
          <w:sz w:val="18"/>
        </w:rPr>
      </w:pPr>
      <w:r>
        <w:rPr>
          <w:rStyle w:val="a6"/>
          <w:sz w:val="18"/>
        </w:rPr>
        <w:t>26</w:t>
      </w:r>
      <w:r>
        <w:rPr>
          <w:sz w:val="18"/>
        </w:rPr>
        <w:t xml:space="preserve"> Большаков О.Г. Уточнение к переводу «Записок Ибн Фадлана» // ДГ 1998. М., 2000. – С. 54. Можно встретить утверждение, что «булгары» – одно из племен «сакалиба» – кыпчаков. См.: Закиев М.З. Татары: проблемы истории и языка. Казань: АН Татарстана, 1995. – С. 75–76.</w:t>
      </w:r>
    </w:p>
  </w:footnote>
  <w:footnote w:id="120">
    <w:p w14:paraId="73AB3A14" w14:textId="77777777" w:rsidR="00AE2133" w:rsidRDefault="00AE2133">
      <w:pPr>
        <w:pStyle w:val="a5"/>
        <w:jc w:val="both"/>
        <w:rPr>
          <w:sz w:val="18"/>
        </w:rPr>
      </w:pPr>
      <w:r>
        <w:rPr>
          <w:rStyle w:val="a6"/>
          <w:sz w:val="18"/>
        </w:rPr>
        <w:t>27</w:t>
      </w:r>
      <w:r>
        <w:rPr>
          <w:sz w:val="18"/>
        </w:rPr>
        <w:t xml:space="preserve"> См.: Седов В.В.. К этногенезу волжских болгар // РА. 2001. – № 2. – С. 11–13. Калинина Т.М. Сведения ранних ученых Арабского халифата. М.: Наука. 1988. – С. 91–92; Викинги. Набеги с севера/ Пер. с англ. Л. Флореньтьева. М.: Терра. 1996. – С. 67–68.</w:t>
      </w:r>
    </w:p>
  </w:footnote>
  <w:footnote w:id="121">
    <w:p w14:paraId="0AE001E3" w14:textId="77777777" w:rsidR="00AE2133" w:rsidRDefault="00AE2133">
      <w:pPr>
        <w:pStyle w:val="a5"/>
        <w:jc w:val="both"/>
        <w:rPr>
          <w:sz w:val="18"/>
        </w:rPr>
      </w:pPr>
      <w:r>
        <w:rPr>
          <w:rStyle w:val="a6"/>
          <w:sz w:val="18"/>
        </w:rPr>
        <w:t>28</w:t>
      </w:r>
      <w:r>
        <w:rPr>
          <w:sz w:val="18"/>
        </w:rPr>
        <w:t xml:space="preserve"> Подробней см.: Хан Н.А.. К истории налогов и сборов на Вятке в эпоху средневековья // Вестник РАН, 2004. – №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4703" w14:textId="77777777" w:rsidR="00AE2133" w:rsidRDefault="00AE2133">
    <w:pPr>
      <w:pStyle w:val="a9"/>
      <w:rPr>
        <w:lang w:val="ru-RU"/>
      </w:rPr>
    </w:pPr>
    <w:r>
      <w:rPr>
        <w:lang w:val="ru-RU"/>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0DC23" w14:textId="77777777" w:rsidR="00AE2133" w:rsidRDefault="00AE2133">
    <w:pPr>
      <w:pStyle w:val="a9"/>
      <w:tabs>
        <w:tab w:val="clear" w:pos="9355"/>
        <w:tab w:val="center" w:pos="3203"/>
        <w:tab w:val="right" w:pos="6407"/>
      </w:tabs>
      <w:spacing w:after="120"/>
      <w:rPr>
        <w:rFonts w:ascii="Times New Roman" w:hAnsi="Times New Roman"/>
        <w:b/>
        <w:bCs/>
        <w:sz w:val="22"/>
        <w:u w:val="single"/>
        <w:lang w:val="ru-RU"/>
      </w:rPr>
    </w:pPr>
    <w:r>
      <w:rPr>
        <w:rFonts w:ascii="Times New Roman" w:hAnsi="Times New Roman"/>
        <w:b/>
        <w:bCs/>
        <w:sz w:val="22"/>
        <w:u w:val="single"/>
        <w:lang w:val="ru-RU"/>
      </w:rPr>
      <w:tab/>
      <w:t>Н.А. Хан. Очерки распространения куфических…</w:t>
    </w:r>
    <w:r>
      <w:rPr>
        <w:rFonts w:ascii="Times New Roman" w:hAnsi="Times New Roman"/>
        <w:b/>
        <w:bCs/>
        <w:sz w:val="22"/>
        <w:u w:val="single"/>
        <w:lang w:val="ru-RU"/>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F0CEA46"/>
    <w:lvl w:ilvl="0">
      <w:numFmt w:val="decimal"/>
      <w:lvlText w:val="*"/>
      <w:lvlJc w:val="left"/>
    </w:lvl>
  </w:abstractNum>
  <w:abstractNum w:abstractNumId="1" w15:restartNumberingAfterBreak="0">
    <w:nsid w:val="2981653D"/>
    <w:multiLevelType w:val="hybridMultilevel"/>
    <w:tmpl w:val="131A49FE"/>
    <w:lvl w:ilvl="0" w:tplc="041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AB06FC5"/>
    <w:multiLevelType w:val="singleLevel"/>
    <w:tmpl w:val="4E383230"/>
    <w:lvl w:ilvl="0">
      <w:start w:val="16"/>
      <w:numFmt w:val="decimal"/>
      <w:lvlText w:val="%1. "/>
      <w:legacy w:legacy="1" w:legacySpace="0" w:legacyIndent="283"/>
      <w:lvlJc w:val="left"/>
      <w:pPr>
        <w:ind w:left="283" w:hanging="283"/>
      </w:pPr>
      <w:rPr>
        <w:rFonts w:ascii="Arial" w:hAnsi="Arial" w:cs="Arial" w:hint="default"/>
        <w:b w:val="0"/>
        <w:i w:val="0"/>
        <w:sz w:val="28"/>
        <w:u w:val="none"/>
      </w:rPr>
    </w:lvl>
  </w:abstractNum>
  <w:abstractNum w:abstractNumId="3" w15:restartNumberingAfterBreak="0">
    <w:nsid w:val="2AD85D14"/>
    <w:multiLevelType w:val="hybridMultilevel"/>
    <w:tmpl w:val="010094F2"/>
    <w:lvl w:ilvl="0" w:tplc="A6FA3630">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4A006D"/>
    <w:multiLevelType w:val="hybridMultilevel"/>
    <w:tmpl w:val="565A2542"/>
    <w:lvl w:ilvl="0" w:tplc="44DCFC4A">
      <w:start w:val="1"/>
      <w:numFmt w:val="decimal"/>
      <w:lvlText w:val="%1."/>
      <w:lvlJc w:val="left"/>
      <w:pPr>
        <w:tabs>
          <w:tab w:val="num" w:pos="2445"/>
        </w:tabs>
        <w:ind w:left="2445" w:hanging="237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5" w15:restartNumberingAfterBreak="0">
    <w:nsid w:val="309C7ED6"/>
    <w:multiLevelType w:val="hybridMultilevel"/>
    <w:tmpl w:val="F88E11C0"/>
    <w:lvl w:ilvl="0" w:tplc="CF4C384A">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num w:numId="1" w16cid:durableId="1123499822">
    <w:abstractNumId w:val="0"/>
    <w:lvlOverride w:ilvl="0">
      <w:lvl w:ilvl="0">
        <w:start w:val="1"/>
        <w:numFmt w:val="bullet"/>
        <w:lvlText w:val=""/>
        <w:legacy w:legacy="1" w:legacySpace="0" w:legacyIndent="283"/>
        <w:lvlJc w:val="left"/>
        <w:pPr>
          <w:ind w:left="1003" w:hanging="283"/>
        </w:pPr>
        <w:rPr>
          <w:rFonts w:ascii="Symbol" w:hAnsi="Symbol" w:hint="default"/>
          <w:b w:val="0"/>
          <w:i w:val="0"/>
          <w:sz w:val="28"/>
          <w:u w:val="none"/>
        </w:rPr>
      </w:lvl>
    </w:lvlOverride>
  </w:num>
  <w:num w:numId="2" w16cid:durableId="2011445898">
    <w:abstractNumId w:val="2"/>
    <w:lvlOverride w:ilvl="0">
      <w:lvl w:ilvl="0">
        <w:start w:val="21"/>
        <w:numFmt w:val="decimal"/>
        <w:lvlText w:val="%1. "/>
        <w:legacy w:legacy="1" w:legacySpace="0" w:legacyIndent="283"/>
        <w:lvlJc w:val="left"/>
        <w:pPr>
          <w:ind w:left="463" w:hanging="283"/>
        </w:pPr>
        <w:rPr>
          <w:rFonts w:ascii="Arial" w:hAnsi="Arial" w:cs="Arial" w:hint="default"/>
          <w:b w:val="0"/>
          <w:i w:val="0"/>
          <w:sz w:val="28"/>
          <w:u w:val="none"/>
        </w:rPr>
      </w:lvl>
    </w:lvlOverride>
  </w:num>
  <w:num w:numId="3" w16cid:durableId="1922327421">
    <w:abstractNumId w:val="4"/>
  </w:num>
  <w:num w:numId="4" w16cid:durableId="76874764">
    <w:abstractNumId w:val="5"/>
  </w:num>
  <w:num w:numId="5" w16cid:durableId="1607076458">
    <w:abstractNumId w:val="3"/>
  </w:num>
  <w:num w:numId="6" w16cid:durableId="702101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73C"/>
    <w:rsid w:val="00264A9E"/>
    <w:rsid w:val="00395416"/>
    <w:rsid w:val="00477013"/>
    <w:rsid w:val="00575D8E"/>
    <w:rsid w:val="00584F0A"/>
    <w:rsid w:val="00711C04"/>
    <w:rsid w:val="00932F29"/>
    <w:rsid w:val="00AE2133"/>
    <w:rsid w:val="00CB62BA"/>
    <w:rsid w:val="00CD484C"/>
    <w:rsid w:val="00E01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A74BD"/>
  <w15:chartTrackingRefBased/>
  <w15:docId w15:val="{396B8E9A-672A-45DD-8FFA-5C62A9F17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overflowPunct w:val="0"/>
      <w:autoSpaceDE w:val="0"/>
      <w:autoSpaceDN w:val="0"/>
      <w:adjustRightInd w:val="0"/>
      <w:jc w:val="both"/>
      <w:textAlignment w:val="baseline"/>
      <w:outlineLvl w:val="0"/>
    </w:pPr>
    <w:rPr>
      <w:i/>
      <w:sz w:val="20"/>
      <w:szCs w:val="20"/>
      <w:lang w:val="de-DE"/>
    </w:rPr>
  </w:style>
  <w:style w:type="paragraph" w:styleId="2">
    <w:name w:val="heading 2"/>
    <w:basedOn w:val="a"/>
    <w:next w:val="a"/>
    <w:qFormat/>
    <w:pPr>
      <w:keepNext/>
      <w:ind w:firstLine="397"/>
      <w:jc w:val="center"/>
      <w:outlineLvl w:val="1"/>
    </w:pPr>
    <w:rPr>
      <w:b/>
      <w:bCs/>
      <w:sz w:val="20"/>
      <w:szCs w:val="16"/>
    </w:rPr>
  </w:style>
  <w:style w:type="paragraph" w:styleId="3">
    <w:name w:val="heading 3"/>
    <w:basedOn w:val="a"/>
    <w:next w:val="a"/>
    <w:qFormat/>
    <w:pPr>
      <w:keepNext/>
      <w:ind w:firstLine="397"/>
      <w:jc w:val="center"/>
      <w:outlineLvl w:val="2"/>
    </w:pPr>
    <w:rPr>
      <w:sz w:val="28"/>
      <w:szCs w:val="16"/>
    </w:rPr>
  </w:style>
  <w:style w:type="paragraph" w:styleId="4">
    <w:name w:val="heading 4"/>
    <w:basedOn w:val="a"/>
    <w:next w:val="a"/>
    <w:qFormat/>
    <w:pPr>
      <w:keepNext/>
      <w:ind w:firstLine="397"/>
      <w:jc w:val="both"/>
      <w:outlineLvl w:val="3"/>
    </w:pPr>
    <w:rPr>
      <w:b/>
      <w:i/>
      <w:sz w:val="20"/>
      <w:szCs w:val="16"/>
    </w:rPr>
  </w:style>
  <w:style w:type="paragraph" w:styleId="5">
    <w:name w:val="heading 5"/>
    <w:basedOn w:val="a"/>
    <w:next w:val="a"/>
    <w:qFormat/>
    <w:pPr>
      <w:keepNext/>
      <w:jc w:val="center"/>
      <w:outlineLvl w:val="4"/>
    </w:pPr>
    <w:rPr>
      <w:b/>
      <w:caps/>
      <w:sz w:val="16"/>
      <w:szCs w:val="16"/>
    </w:rPr>
  </w:style>
  <w:style w:type="paragraph" w:styleId="6">
    <w:name w:val="heading 6"/>
    <w:basedOn w:val="a"/>
    <w:next w:val="a"/>
    <w:qFormat/>
    <w:pPr>
      <w:keepNext/>
      <w:ind w:hanging="3"/>
      <w:jc w:val="center"/>
      <w:outlineLvl w:val="5"/>
    </w:pPr>
    <w:rPr>
      <w:b/>
      <w:caps/>
      <w:sz w:val="16"/>
      <w:szCs w:val="16"/>
    </w:rPr>
  </w:style>
  <w:style w:type="paragraph" w:styleId="7">
    <w:name w:val="heading 7"/>
    <w:basedOn w:val="a"/>
    <w:next w:val="a"/>
    <w:qFormat/>
    <w:pPr>
      <w:keepNext/>
      <w:jc w:val="both"/>
      <w:outlineLvl w:val="6"/>
    </w:pPr>
    <w:rPr>
      <w:b/>
      <w:caps/>
      <w:sz w:val="14"/>
      <w:szCs w:val="16"/>
    </w:rPr>
  </w:style>
  <w:style w:type="paragraph" w:styleId="8">
    <w:name w:val="heading 8"/>
    <w:basedOn w:val="a"/>
    <w:next w:val="a"/>
    <w:qFormat/>
    <w:pPr>
      <w:keepNext/>
      <w:jc w:val="center"/>
      <w:outlineLvl w:val="7"/>
    </w:pPr>
    <w:rPr>
      <w:b/>
      <w:sz w:val="20"/>
      <w:szCs w:val="16"/>
    </w:rPr>
  </w:style>
  <w:style w:type="paragraph" w:styleId="9">
    <w:name w:val="heading 9"/>
    <w:basedOn w:val="a"/>
    <w:next w:val="a"/>
    <w:qFormat/>
    <w:pPr>
      <w:keepNext/>
      <w:ind w:firstLine="2"/>
      <w:jc w:val="both"/>
      <w:outlineLvl w:val="8"/>
    </w:pPr>
    <w:rPr>
      <w:i/>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Введение"/>
    <w:basedOn w:val="8"/>
    <w:pPr>
      <w:spacing w:before="2040" w:after="120"/>
    </w:pPr>
    <w:rPr>
      <w:bCs/>
      <w:sz w:val="22"/>
    </w:rPr>
  </w:style>
  <w:style w:type="paragraph" w:styleId="a4">
    <w:name w:val="Body Text"/>
    <w:aliases w:val=" Char"/>
    <w:basedOn w:val="a"/>
    <w:pPr>
      <w:overflowPunct w:val="0"/>
      <w:autoSpaceDE w:val="0"/>
      <w:autoSpaceDN w:val="0"/>
      <w:adjustRightInd w:val="0"/>
      <w:textAlignment w:val="baseline"/>
    </w:pPr>
    <w:rPr>
      <w:sz w:val="20"/>
      <w:szCs w:val="20"/>
      <w:lang w:val="de-DE"/>
    </w:rPr>
  </w:style>
  <w:style w:type="paragraph" w:styleId="30">
    <w:name w:val="Body Text Indent 3"/>
    <w:basedOn w:val="a"/>
    <w:pPr>
      <w:overflowPunct w:val="0"/>
      <w:autoSpaceDE w:val="0"/>
      <w:autoSpaceDN w:val="0"/>
      <w:adjustRightInd w:val="0"/>
      <w:ind w:left="1440"/>
      <w:jc w:val="center"/>
      <w:textAlignment w:val="baseline"/>
    </w:pPr>
    <w:rPr>
      <w:sz w:val="28"/>
      <w:szCs w:val="20"/>
    </w:rPr>
  </w:style>
  <w:style w:type="paragraph" w:styleId="a5">
    <w:name w:val="footnote text"/>
    <w:basedOn w:val="a"/>
    <w:semiHidden/>
    <w:pPr>
      <w:overflowPunct w:val="0"/>
      <w:autoSpaceDE w:val="0"/>
      <w:autoSpaceDN w:val="0"/>
      <w:adjustRightInd w:val="0"/>
      <w:textAlignment w:val="baseline"/>
    </w:pPr>
    <w:rPr>
      <w:sz w:val="20"/>
      <w:szCs w:val="20"/>
    </w:rPr>
  </w:style>
  <w:style w:type="character" w:styleId="a6">
    <w:name w:val="footnote reference"/>
    <w:basedOn w:val="a0"/>
    <w:semiHidden/>
    <w:rPr>
      <w:vertAlign w:val="superscript"/>
    </w:rPr>
  </w:style>
  <w:style w:type="paragraph" w:styleId="a7">
    <w:name w:val="Body Text Indent"/>
    <w:basedOn w:val="a"/>
    <w:pPr>
      <w:overflowPunct w:val="0"/>
      <w:autoSpaceDE w:val="0"/>
      <w:autoSpaceDN w:val="0"/>
      <w:adjustRightInd w:val="0"/>
      <w:ind w:firstLine="720"/>
      <w:jc w:val="both"/>
      <w:textAlignment w:val="baseline"/>
    </w:pPr>
    <w:rPr>
      <w:sz w:val="28"/>
      <w:szCs w:val="20"/>
      <w:lang w:val="de-DE"/>
    </w:rPr>
  </w:style>
  <w:style w:type="paragraph" w:styleId="20">
    <w:name w:val="Body Text 2"/>
    <w:basedOn w:val="a"/>
    <w:pPr>
      <w:overflowPunct w:val="0"/>
      <w:autoSpaceDE w:val="0"/>
      <w:autoSpaceDN w:val="0"/>
      <w:adjustRightInd w:val="0"/>
      <w:jc w:val="center"/>
      <w:textAlignment w:val="baseline"/>
    </w:pPr>
    <w:rPr>
      <w:bCs/>
      <w:sz w:val="28"/>
      <w:szCs w:val="20"/>
    </w:rPr>
  </w:style>
  <w:style w:type="paragraph" w:styleId="a8">
    <w:name w:val="caption"/>
    <w:basedOn w:val="a"/>
    <w:next w:val="a"/>
    <w:qFormat/>
    <w:pPr>
      <w:overflowPunct w:val="0"/>
      <w:autoSpaceDE w:val="0"/>
      <w:autoSpaceDN w:val="0"/>
      <w:adjustRightInd w:val="0"/>
      <w:spacing w:before="120" w:after="120"/>
      <w:textAlignment w:val="baseline"/>
    </w:pPr>
    <w:rPr>
      <w:rFonts w:ascii="Arial" w:hAnsi="Arial"/>
      <w:b/>
      <w:sz w:val="28"/>
      <w:szCs w:val="20"/>
    </w:rPr>
  </w:style>
  <w:style w:type="paragraph" w:styleId="21">
    <w:name w:val="Body Text Indent 2"/>
    <w:basedOn w:val="a"/>
    <w:pPr>
      <w:overflowPunct w:val="0"/>
      <w:autoSpaceDE w:val="0"/>
      <w:autoSpaceDN w:val="0"/>
      <w:adjustRightInd w:val="0"/>
      <w:ind w:firstLine="720"/>
      <w:jc w:val="both"/>
      <w:textAlignment w:val="baseline"/>
    </w:pPr>
    <w:rPr>
      <w:sz w:val="20"/>
      <w:szCs w:val="20"/>
      <w:lang w:val="de-DE"/>
    </w:rPr>
  </w:style>
  <w:style w:type="paragraph" w:styleId="31">
    <w:name w:val="Body Text 3"/>
    <w:basedOn w:val="a"/>
    <w:pPr>
      <w:jc w:val="center"/>
    </w:pPr>
    <w:rPr>
      <w:i/>
      <w:iCs/>
      <w:sz w:val="18"/>
      <w:szCs w:val="16"/>
    </w:rPr>
  </w:style>
  <w:style w:type="paragraph" w:styleId="a9">
    <w:name w:val="header"/>
    <w:basedOn w:val="a"/>
    <w:pPr>
      <w:tabs>
        <w:tab w:val="center" w:pos="4677"/>
        <w:tab w:val="right" w:pos="9355"/>
      </w:tabs>
      <w:overflowPunct w:val="0"/>
      <w:autoSpaceDE w:val="0"/>
      <w:autoSpaceDN w:val="0"/>
      <w:adjustRightInd w:val="0"/>
      <w:textAlignment w:val="baseline"/>
    </w:pPr>
    <w:rPr>
      <w:rFonts w:ascii="Arial" w:hAnsi="Arial"/>
      <w:sz w:val="28"/>
      <w:szCs w:val="20"/>
      <w:lang w:val="de-DE"/>
    </w:rPr>
  </w:style>
  <w:style w:type="character" w:styleId="aa">
    <w:name w:val="page number"/>
    <w:basedOn w:val="a0"/>
  </w:style>
  <w:style w:type="paragraph" w:styleId="ab">
    <w:name w:val="footer"/>
    <w:basedOn w:val="a"/>
    <w:pPr>
      <w:tabs>
        <w:tab w:val="center" w:pos="4153"/>
        <w:tab w:val="right" w:pos="8306"/>
      </w:tabs>
      <w:overflowPunct w:val="0"/>
      <w:autoSpaceDE w:val="0"/>
      <w:autoSpaceDN w:val="0"/>
      <w:adjustRightInd w:val="0"/>
      <w:textAlignment w:val="baseline"/>
    </w:pPr>
    <w:rPr>
      <w:rFonts w:ascii="Arial" w:hAnsi="Arial"/>
      <w:sz w:val="28"/>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2.bin"/><Relationship Id="rId26" Type="http://schemas.openxmlformats.org/officeDocument/2006/relationships/chart" Target="charts/chart7.xml"/><Relationship Id="rId39" Type="http://schemas.openxmlformats.org/officeDocument/2006/relationships/oleObject" Target="embeddings/oleObject4.bin"/><Relationship Id="rId21" Type="http://schemas.openxmlformats.org/officeDocument/2006/relationships/chart" Target="charts/chart4.xml"/><Relationship Id="rId34" Type="http://schemas.openxmlformats.org/officeDocument/2006/relationships/chart" Target="charts/chart15.xml"/><Relationship Id="rId42" Type="http://schemas.openxmlformats.org/officeDocument/2006/relationships/chart" Target="charts/chart21.xml"/><Relationship Id="rId47" Type="http://schemas.openxmlformats.org/officeDocument/2006/relationships/chart" Target="charts/chart24.xml"/><Relationship Id="rId50" Type="http://schemas.openxmlformats.org/officeDocument/2006/relationships/image" Target="media/image10.png"/><Relationship Id="rId55" Type="http://schemas.openxmlformats.org/officeDocument/2006/relationships/chart" Target="charts/chart2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1.xml"/><Relationship Id="rId29" Type="http://schemas.openxmlformats.org/officeDocument/2006/relationships/chart" Target="charts/chart10.xml"/><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19.xml"/><Relationship Id="rId45" Type="http://schemas.openxmlformats.org/officeDocument/2006/relationships/oleObject" Target="embeddings/oleObject5.bin"/><Relationship Id="rId53" Type="http://schemas.openxmlformats.org/officeDocument/2006/relationships/image" Target="media/image11.png"/><Relationship Id="rId58" Type="http://schemas.openxmlformats.org/officeDocument/2006/relationships/image" Target="media/image13.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chart" Target="charts/chart2.xml"/><Relationship Id="rId14" Type="http://schemas.openxmlformats.org/officeDocument/2006/relationships/oleObject" Target="embeddings/oleObject1.bin"/><Relationship Id="rId22" Type="http://schemas.openxmlformats.org/officeDocument/2006/relationships/chart" Target="charts/chart5.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2.xml"/><Relationship Id="rId48" Type="http://schemas.openxmlformats.org/officeDocument/2006/relationships/image" Target="media/image9.wmf"/><Relationship Id="rId56" Type="http://schemas.openxmlformats.org/officeDocument/2006/relationships/chart" Target="charts/chart27.xml"/><Relationship Id="rId8" Type="http://schemas.openxmlformats.org/officeDocument/2006/relationships/header" Target="header1.xml"/><Relationship Id="rId51" Type="http://schemas.openxmlformats.org/officeDocument/2006/relationships/oleObject" Target="embeddings/oleObject7.bin"/><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image" Target="media/image7.png"/><Relationship Id="rId46" Type="http://schemas.openxmlformats.org/officeDocument/2006/relationships/chart" Target="charts/chart23.xml"/><Relationship Id="rId59" Type="http://schemas.openxmlformats.org/officeDocument/2006/relationships/oleObject" Target="embeddings/oleObject9.bin"/><Relationship Id="rId20" Type="http://schemas.openxmlformats.org/officeDocument/2006/relationships/chart" Target="charts/chart3.xml"/><Relationship Id="rId41" Type="http://schemas.openxmlformats.org/officeDocument/2006/relationships/chart" Target="charts/chart20.xml"/><Relationship Id="rId54" Type="http://schemas.openxmlformats.org/officeDocument/2006/relationships/oleObject" Target="embeddings/oleObject8.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6.png"/><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oleObject" Target="embeddings/oleObject6.bin"/><Relationship Id="rId57" Type="http://schemas.openxmlformats.org/officeDocument/2006/relationships/image" Target="media/image12.jpeg"/><Relationship Id="rId10" Type="http://schemas.openxmlformats.org/officeDocument/2006/relationships/footer" Target="footer1.xml"/><Relationship Id="rId31" Type="http://schemas.openxmlformats.org/officeDocument/2006/relationships/chart" Target="charts/chart12.xml"/><Relationship Id="rId44" Type="http://schemas.openxmlformats.org/officeDocument/2006/relationships/image" Target="media/image8.png"/><Relationship Id="rId52" Type="http://schemas.openxmlformats.org/officeDocument/2006/relationships/chart" Target="charts/chart25.xml"/><Relationship Id="rId60"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327635327635326"/>
          <c:y val="0.42105263157894735"/>
          <c:w val="0.29629629629629628"/>
          <c:h val="0.42105263157894735"/>
        </c:manualLayout>
      </c:layout>
      <c:pieChart>
        <c:varyColors val="1"/>
        <c:ser>
          <c:idx val="0"/>
          <c:order val="0"/>
          <c:spPr>
            <a:solidFill>
              <a:srgbClr val="8080FF"/>
            </a:solidFill>
            <a:ln w="12693">
              <a:solidFill>
                <a:srgbClr val="000000"/>
              </a:solidFill>
              <a:prstDash val="solid"/>
            </a:ln>
          </c:spPr>
          <c:dPt>
            <c:idx val="0"/>
            <c:bubble3D val="0"/>
            <c:spPr>
              <a:solidFill>
                <a:srgbClr val="FFFF99"/>
              </a:solidFill>
              <a:ln w="12693">
                <a:solidFill>
                  <a:srgbClr val="000000"/>
                </a:solidFill>
                <a:prstDash val="solid"/>
              </a:ln>
            </c:spPr>
            <c:extLst>
              <c:ext xmlns:c16="http://schemas.microsoft.com/office/drawing/2014/chart" uri="{C3380CC4-5D6E-409C-BE32-E72D297353CC}">
                <c16:uniqueId val="{00000000-34DA-40FF-A08C-8102726FA447}"/>
              </c:ext>
            </c:extLst>
          </c:dPt>
          <c:dPt>
            <c:idx val="1"/>
            <c:bubble3D val="0"/>
            <c:spPr>
              <a:solidFill>
                <a:srgbClr val="802060"/>
              </a:solidFill>
              <a:ln w="12693">
                <a:solidFill>
                  <a:srgbClr val="000000"/>
                </a:solidFill>
                <a:prstDash val="solid"/>
              </a:ln>
            </c:spPr>
            <c:extLst>
              <c:ext xmlns:c16="http://schemas.microsoft.com/office/drawing/2014/chart" uri="{C3380CC4-5D6E-409C-BE32-E72D297353CC}">
                <c16:uniqueId val="{00000001-34DA-40FF-A08C-8102726FA447}"/>
              </c:ext>
            </c:extLst>
          </c:dPt>
          <c:dPt>
            <c:idx val="2"/>
            <c:bubble3D val="0"/>
            <c:spPr>
              <a:solidFill>
                <a:srgbClr val="00FF00"/>
              </a:solidFill>
              <a:ln w="12693">
                <a:solidFill>
                  <a:srgbClr val="000000"/>
                </a:solidFill>
                <a:prstDash val="solid"/>
              </a:ln>
            </c:spPr>
            <c:extLst>
              <c:ext xmlns:c16="http://schemas.microsoft.com/office/drawing/2014/chart" uri="{C3380CC4-5D6E-409C-BE32-E72D297353CC}">
                <c16:uniqueId val="{00000002-34DA-40FF-A08C-8102726FA447}"/>
              </c:ext>
            </c:extLst>
          </c:dPt>
          <c:dPt>
            <c:idx val="3"/>
            <c:bubble3D val="0"/>
            <c:spPr>
              <a:solidFill>
                <a:srgbClr val="A0E0E0"/>
              </a:solidFill>
              <a:ln w="12693">
                <a:solidFill>
                  <a:srgbClr val="000000"/>
                </a:solidFill>
                <a:prstDash val="solid"/>
              </a:ln>
            </c:spPr>
            <c:extLst>
              <c:ext xmlns:c16="http://schemas.microsoft.com/office/drawing/2014/chart" uri="{C3380CC4-5D6E-409C-BE32-E72D297353CC}">
                <c16:uniqueId val="{00000003-34DA-40FF-A08C-8102726FA447}"/>
              </c:ext>
            </c:extLst>
          </c:dPt>
          <c:dPt>
            <c:idx val="4"/>
            <c:bubble3D val="0"/>
            <c:spPr>
              <a:solidFill>
                <a:srgbClr val="600080"/>
              </a:solidFill>
              <a:ln w="12693">
                <a:solidFill>
                  <a:srgbClr val="000000"/>
                </a:solidFill>
                <a:prstDash val="solid"/>
              </a:ln>
            </c:spPr>
            <c:extLst>
              <c:ext xmlns:c16="http://schemas.microsoft.com/office/drawing/2014/chart" uri="{C3380CC4-5D6E-409C-BE32-E72D297353CC}">
                <c16:uniqueId val="{00000004-34DA-40FF-A08C-8102726FA447}"/>
              </c:ext>
            </c:extLst>
          </c:dPt>
          <c:dPt>
            <c:idx val="5"/>
            <c:bubble3D val="0"/>
            <c:spPr>
              <a:solidFill>
                <a:srgbClr val="FF8080"/>
              </a:solidFill>
              <a:ln w="12693">
                <a:solidFill>
                  <a:srgbClr val="000000"/>
                </a:solidFill>
                <a:prstDash val="solid"/>
              </a:ln>
            </c:spPr>
            <c:extLst>
              <c:ext xmlns:c16="http://schemas.microsoft.com/office/drawing/2014/chart" uri="{C3380CC4-5D6E-409C-BE32-E72D297353CC}">
                <c16:uniqueId val="{00000005-34DA-40FF-A08C-8102726FA447}"/>
              </c:ext>
            </c:extLst>
          </c:dPt>
          <c:dPt>
            <c:idx val="6"/>
            <c:bubble3D val="0"/>
            <c:spPr>
              <a:solidFill>
                <a:srgbClr val="0080C0"/>
              </a:solidFill>
              <a:ln w="12693">
                <a:solidFill>
                  <a:srgbClr val="000000"/>
                </a:solidFill>
                <a:prstDash val="solid"/>
              </a:ln>
            </c:spPr>
            <c:extLst>
              <c:ext xmlns:c16="http://schemas.microsoft.com/office/drawing/2014/chart" uri="{C3380CC4-5D6E-409C-BE32-E72D297353CC}">
                <c16:uniqueId val="{00000006-34DA-40FF-A08C-8102726FA447}"/>
              </c:ext>
            </c:extLst>
          </c:dPt>
          <c:dPt>
            <c:idx val="7"/>
            <c:bubble3D val="0"/>
            <c:spPr>
              <a:solidFill>
                <a:srgbClr val="FFFFFF"/>
              </a:solidFill>
              <a:ln w="12693">
                <a:solidFill>
                  <a:srgbClr val="000000"/>
                </a:solidFill>
                <a:prstDash val="solid"/>
              </a:ln>
            </c:spPr>
            <c:extLst>
              <c:ext xmlns:c16="http://schemas.microsoft.com/office/drawing/2014/chart" uri="{C3380CC4-5D6E-409C-BE32-E72D297353CC}">
                <c16:uniqueId val="{00000007-34DA-40FF-A08C-8102726FA447}"/>
              </c:ext>
            </c:extLst>
          </c:dPt>
          <c:dLbls>
            <c:dLbl>
              <c:idx val="2"/>
              <c:layout>
                <c:manualLayout>
                  <c:x val="1.0750672752724011E-2"/>
                  <c:y val="-5.6770065688236726E-2"/>
                </c:manualLayout>
              </c:layout>
              <c:numFmt formatCode="0%" sourceLinked="0"/>
              <c:spPr>
                <a:noFill/>
                <a:ln w="25386">
                  <a:noFill/>
                </a:ln>
              </c:spPr>
              <c:txPr>
                <a:bodyPr/>
                <a:lstStyle/>
                <a:p>
                  <a:pPr>
                    <a:defRPr sz="8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4DA-40FF-A08C-8102726FA447}"/>
                </c:ext>
              </c:extLst>
            </c:dLbl>
            <c:dLbl>
              <c:idx val="3"/>
              <c:layout>
                <c:manualLayout>
                  <c:x val="-8.1463492967975282E-3"/>
                  <c:y val="3.2014908449330637E-2"/>
                </c:manualLayout>
              </c:layout>
              <c:numFmt formatCode="0%" sourceLinked="0"/>
              <c:spPr>
                <a:noFill/>
                <a:ln w="25386">
                  <a:noFill/>
                </a:ln>
              </c:spPr>
              <c:txPr>
                <a:bodyPr/>
                <a:lstStyle/>
                <a:p>
                  <a:pPr>
                    <a:defRPr sz="8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4DA-40FF-A08C-8102726FA447}"/>
                </c:ext>
              </c:extLst>
            </c:dLbl>
            <c:numFmt formatCode="0%" sourceLinked="0"/>
            <c:spPr>
              <a:noFill/>
              <a:ln w="25386">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Лист3!$A$14:$A$21</c:f>
              <c:strCache>
                <c:ptCount val="8"/>
                <c:pt idx="0">
                  <c:v>Басра</c:v>
                </c:pt>
                <c:pt idx="1">
                  <c:v>Джезира</c:v>
                </c:pt>
                <c:pt idx="2">
                  <c:v>Мадинат-ас-Салам </c:v>
                </c:pt>
                <c:pt idx="3">
                  <c:v>Арминия</c:v>
                </c:pt>
                <c:pt idx="4">
                  <c:v>Мухамадия</c:v>
                </c:pt>
                <c:pt idx="5">
                  <c:v>Африкия</c:v>
                </c:pt>
                <c:pt idx="6">
                  <c:v>Аббасия</c:v>
                </c:pt>
                <c:pt idx="7">
                  <c:v>Куфа</c:v>
                </c:pt>
              </c:strCache>
            </c:strRef>
          </c:cat>
          <c:val>
            <c:numRef>
              <c:f>Лист3!$B$14:$B$21</c:f>
              <c:numCache>
                <c:formatCode>General</c:formatCode>
                <c:ptCount val="8"/>
                <c:pt idx="0">
                  <c:v>6</c:v>
                </c:pt>
                <c:pt idx="1">
                  <c:v>1</c:v>
                </c:pt>
                <c:pt idx="2">
                  <c:v>13</c:v>
                </c:pt>
                <c:pt idx="3">
                  <c:v>1</c:v>
                </c:pt>
                <c:pt idx="4">
                  <c:v>1</c:v>
                </c:pt>
                <c:pt idx="5">
                  <c:v>5</c:v>
                </c:pt>
                <c:pt idx="6">
                  <c:v>3</c:v>
                </c:pt>
                <c:pt idx="7">
                  <c:v>1</c:v>
                </c:pt>
              </c:numCache>
            </c:numRef>
          </c:val>
          <c:extLst>
            <c:ext xmlns:c16="http://schemas.microsoft.com/office/drawing/2014/chart" uri="{C3380CC4-5D6E-409C-BE32-E72D297353CC}">
              <c16:uniqueId val="{00000008-34DA-40FF-A08C-8102726FA447}"/>
            </c:ext>
          </c:extLst>
        </c:ser>
        <c:dLbls>
          <c:dLblPos val="outEnd"/>
          <c:showLegendKey val="0"/>
          <c:showVal val="0"/>
          <c:showCatName val="1"/>
          <c:showSerName val="0"/>
          <c:showPercent val="1"/>
          <c:showBubbleSize val="0"/>
          <c:showLeaderLines val="0"/>
        </c:dLbls>
        <c:firstSliceAng val="0"/>
      </c:pieChart>
      <c:spPr>
        <a:noFill/>
        <a:ln w="25386">
          <a:noFill/>
        </a:ln>
      </c:spPr>
    </c:plotArea>
    <c:plotVisOnly val="1"/>
    <c:dispBlanksAs val="zero"/>
    <c:showDLblsOverMax val="0"/>
  </c:chart>
  <c:spPr>
    <a:solidFill>
      <a:srgbClr val="FFFFFF"/>
    </a:solidFill>
    <a:ln w="12693">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04040404040403"/>
          <c:y val="0.30837004405286345"/>
          <c:w val="0.61616161616161613"/>
          <c:h val="0.53303964757709255"/>
        </c:manualLayout>
      </c:layout>
      <c:barChart>
        <c:barDir val="col"/>
        <c:grouping val="percentStacked"/>
        <c:varyColors val="0"/>
        <c:ser>
          <c:idx val="0"/>
          <c:order val="0"/>
          <c:tx>
            <c:strRef>
              <c:f>Лист3!$B$45</c:f>
              <c:strCache>
                <c:ptCount val="1"/>
                <c:pt idx="0">
                  <c:v>аш-Шаш</c:v>
                </c:pt>
              </c:strCache>
            </c:strRef>
          </c:tx>
          <c:spPr>
            <a:solidFill>
              <a:srgbClr val="8080FF"/>
            </a:solidFill>
            <a:ln w="12692">
              <a:solidFill>
                <a:srgbClr val="000000"/>
              </a:solidFill>
              <a:prstDash val="solid"/>
            </a:ln>
          </c:spPr>
          <c:invertIfNegative val="0"/>
          <c:cat>
            <c:strRef>
              <c:f>Лист3!$C$44:$E$44</c:f>
              <c:strCache>
                <c:ptCount val="3"/>
                <c:pt idx="0">
                  <c:v>Богдановский</c:v>
                </c:pt>
                <c:pt idx="1">
                  <c:v>1840 г.</c:v>
                </c:pt>
                <c:pt idx="2">
                  <c:v>Муромский</c:v>
                </c:pt>
              </c:strCache>
            </c:strRef>
          </c:cat>
          <c:val>
            <c:numRef>
              <c:f>Лист3!$C$45:$E$45</c:f>
              <c:numCache>
                <c:formatCode>General</c:formatCode>
                <c:ptCount val="3"/>
                <c:pt idx="0">
                  <c:v>174</c:v>
                </c:pt>
                <c:pt idx="1">
                  <c:v>198</c:v>
                </c:pt>
                <c:pt idx="2">
                  <c:v>274</c:v>
                </c:pt>
              </c:numCache>
            </c:numRef>
          </c:val>
          <c:extLst>
            <c:ext xmlns:c16="http://schemas.microsoft.com/office/drawing/2014/chart" uri="{C3380CC4-5D6E-409C-BE32-E72D297353CC}">
              <c16:uniqueId val="{00000000-ECAA-4D42-B24C-F1F7F172EA77}"/>
            </c:ext>
          </c:extLst>
        </c:ser>
        <c:ser>
          <c:idx val="1"/>
          <c:order val="1"/>
          <c:tx>
            <c:strRef>
              <c:f>Лист3!$B$46</c:f>
              <c:strCache>
                <c:ptCount val="1"/>
                <c:pt idx="0">
                  <c:v>Самарканд </c:v>
                </c:pt>
              </c:strCache>
            </c:strRef>
          </c:tx>
          <c:spPr>
            <a:solidFill>
              <a:srgbClr val="802060"/>
            </a:solidFill>
            <a:ln w="12692">
              <a:solidFill>
                <a:srgbClr val="000000"/>
              </a:solidFill>
              <a:prstDash val="solid"/>
            </a:ln>
          </c:spPr>
          <c:invertIfNegative val="0"/>
          <c:cat>
            <c:strRef>
              <c:f>Лист3!$C$44:$E$44</c:f>
              <c:strCache>
                <c:ptCount val="3"/>
                <c:pt idx="0">
                  <c:v>Богдановский</c:v>
                </c:pt>
                <c:pt idx="1">
                  <c:v>1840 г.</c:v>
                </c:pt>
                <c:pt idx="2">
                  <c:v>Муромский</c:v>
                </c:pt>
              </c:strCache>
            </c:strRef>
          </c:cat>
          <c:val>
            <c:numRef>
              <c:f>Лист3!$C$46:$E$46</c:f>
              <c:numCache>
                <c:formatCode>General</c:formatCode>
                <c:ptCount val="3"/>
                <c:pt idx="0">
                  <c:v>108</c:v>
                </c:pt>
                <c:pt idx="1">
                  <c:v>72</c:v>
                </c:pt>
                <c:pt idx="2">
                  <c:v>164</c:v>
                </c:pt>
              </c:numCache>
            </c:numRef>
          </c:val>
          <c:extLst>
            <c:ext xmlns:c16="http://schemas.microsoft.com/office/drawing/2014/chart" uri="{C3380CC4-5D6E-409C-BE32-E72D297353CC}">
              <c16:uniqueId val="{00000001-ECAA-4D42-B24C-F1F7F172EA77}"/>
            </c:ext>
          </c:extLst>
        </c:ser>
        <c:dLbls>
          <c:showLegendKey val="0"/>
          <c:showVal val="0"/>
          <c:showCatName val="0"/>
          <c:showSerName val="0"/>
          <c:showPercent val="0"/>
          <c:showBubbleSize val="0"/>
        </c:dLbls>
        <c:gapWidth val="150"/>
        <c:overlap val="100"/>
        <c:serLines>
          <c:spPr>
            <a:ln w="3173">
              <a:solidFill>
                <a:srgbClr val="000000"/>
              </a:solidFill>
              <a:prstDash val="solid"/>
            </a:ln>
          </c:spPr>
        </c:serLines>
        <c:axId val="2107991680"/>
        <c:axId val="1"/>
      </c:barChart>
      <c:catAx>
        <c:axId val="2107991680"/>
        <c:scaling>
          <c:orientation val="minMax"/>
        </c:scaling>
        <c:delete val="0"/>
        <c:axPos val="b"/>
        <c:numFmt formatCode="General" sourceLinked="1"/>
        <c:majorTickMark val="cross"/>
        <c:minorTickMark val="none"/>
        <c:tickLblPos val="nextTo"/>
        <c:spPr>
          <a:ln w="3173">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numFmt formatCode="0%" sourceLinked="1"/>
        <c:majorTickMark val="cross"/>
        <c:minorTickMark val="none"/>
        <c:tickLblPos val="nextTo"/>
        <c:spPr>
          <a:ln w="3173">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2107991680"/>
        <c:crosses val="autoZero"/>
        <c:crossBetween val="between"/>
      </c:valAx>
      <c:spPr>
        <a:solidFill>
          <a:srgbClr val="C0C0C0"/>
        </a:solidFill>
        <a:ln w="12692">
          <a:solidFill>
            <a:srgbClr val="808080"/>
          </a:solidFill>
          <a:prstDash val="solid"/>
        </a:ln>
      </c:spPr>
    </c:plotArea>
    <c:legend>
      <c:legendPos val="r"/>
      <c:layout>
        <c:manualLayout>
          <c:xMode val="edge"/>
          <c:yMode val="edge"/>
          <c:x val="0.79545454545454541"/>
          <c:y val="0.51541850220264318"/>
          <c:w val="0.19444444444444445"/>
          <c:h val="0.17180616740088106"/>
        </c:manualLayout>
      </c:layout>
      <c:overlay val="0"/>
      <c:spPr>
        <a:solidFill>
          <a:srgbClr val="FFFFFF"/>
        </a:solidFill>
        <a:ln w="3173">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3">
      <a:solidFill>
        <a:srgbClr val="000000"/>
      </a:solidFill>
      <a:prstDash val="solid"/>
    </a:ln>
    <a:effectLst>
      <a:outerShdw dist="35921" dir="2700000" algn="br">
        <a:srgbClr val="000000"/>
      </a:outerShdw>
    </a:effectLst>
  </c:spPr>
  <c:txPr>
    <a:bodyPr/>
    <a:lstStyle/>
    <a:p>
      <a:pPr>
        <a:defRPr sz="79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hPercent val="64"/>
      <c:rotY val="10"/>
      <c:depthPercent val="2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000000"/>
          </a:solidFill>
          <a:prstDash val="solid"/>
        </a:ln>
      </c:spPr>
    </c:sideWall>
    <c:backWall>
      <c:thickness val="0"/>
      <c:spPr>
        <a:solidFill>
          <a:srgbClr val="FFFFFF"/>
        </a:solidFill>
        <a:ln w="12700">
          <a:solidFill>
            <a:srgbClr val="000000"/>
          </a:solidFill>
          <a:prstDash val="solid"/>
        </a:ln>
      </c:spPr>
    </c:backWall>
    <c:plotArea>
      <c:layout>
        <c:manualLayout>
          <c:layoutTarget val="inner"/>
          <c:xMode val="edge"/>
          <c:yMode val="edge"/>
          <c:x val="0.11290322580645161"/>
          <c:y val="1.0638297872340425E-2"/>
          <c:w val="0.66397849462365588"/>
          <c:h val="0.7021276595744681"/>
        </c:manualLayout>
      </c:layout>
      <c:bar3DChart>
        <c:barDir val="col"/>
        <c:grouping val="stacked"/>
        <c:varyColors val="0"/>
        <c:ser>
          <c:idx val="0"/>
          <c:order val="0"/>
          <c:tx>
            <c:strRef>
              <c:f>Sheet3!$A$10</c:f>
              <c:strCache>
                <c:ptCount val="1"/>
                <c:pt idx="0">
                  <c:v>аш-Шаш </c:v>
                </c:pt>
              </c:strCache>
            </c:strRef>
          </c:tx>
          <c:spPr>
            <a:solidFill>
              <a:srgbClr val="969696"/>
            </a:solidFill>
            <a:ln w="12691">
              <a:solidFill>
                <a:srgbClr val="000000"/>
              </a:solidFill>
              <a:prstDash val="solid"/>
            </a:ln>
          </c:spPr>
          <c:invertIfNegative val="0"/>
          <c:cat>
            <c:strRef>
              <c:f>Sheet3!$B$9:$F$9</c:f>
              <c:strCache>
                <c:ptCount val="5"/>
                <c:pt idx="0">
                  <c:v>274/867-876</c:v>
                </c:pt>
                <c:pt idx="1">
                  <c:v>284/877-886</c:v>
                </c:pt>
                <c:pt idx="2">
                  <c:v>294/887-896</c:v>
                </c:pt>
                <c:pt idx="3">
                  <c:v>304/897-906</c:v>
                </c:pt>
                <c:pt idx="4">
                  <c:v>314/907-916</c:v>
                </c:pt>
              </c:strCache>
            </c:strRef>
          </c:cat>
          <c:val>
            <c:numRef>
              <c:f>Sheet3!$B$10:$F$10</c:f>
              <c:numCache>
                <c:formatCode>General</c:formatCode>
                <c:ptCount val="5"/>
                <c:pt idx="1">
                  <c:v>6.45</c:v>
                </c:pt>
                <c:pt idx="2">
                  <c:v>1.61</c:v>
                </c:pt>
                <c:pt idx="3">
                  <c:v>1.61</c:v>
                </c:pt>
                <c:pt idx="4">
                  <c:v>38.71</c:v>
                </c:pt>
              </c:numCache>
            </c:numRef>
          </c:val>
          <c:extLst>
            <c:ext xmlns:c16="http://schemas.microsoft.com/office/drawing/2014/chart" uri="{C3380CC4-5D6E-409C-BE32-E72D297353CC}">
              <c16:uniqueId val="{00000000-94CA-49FB-8E64-5B929CA1527E}"/>
            </c:ext>
          </c:extLst>
        </c:ser>
        <c:ser>
          <c:idx val="1"/>
          <c:order val="1"/>
          <c:tx>
            <c:strRef>
              <c:f>Sheet3!$A$11</c:f>
              <c:strCache>
                <c:ptCount val="1"/>
                <c:pt idx="0">
                  <c:v>Самарканд </c:v>
                </c:pt>
              </c:strCache>
            </c:strRef>
          </c:tx>
          <c:spPr>
            <a:solidFill>
              <a:srgbClr val="000000"/>
            </a:solidFill>
            <a:ln w="12691">
              <a:solidFill>
                <a:srgbClr val="000000"/>
              </a:solidFill>
              <a:prstDash val="solid"/>
            </a:ln>
          </c:spPr>
          <c:invertIfNegative val="0"/>
          <c:cat>
            <c:strRef>
              <c:f>Sheet3!$B$9:$F$9</c:f>
              <c:strCache>
                <c:ptCount val="5"/>
                <c:pt idx="0">
                  <c:v>274/867-876</c:v>
                </c:pt>
                <c:pt idx="1">
                  <c:v>284/877-886</c:v>
                </c:pt>
                <c:pt idx="2">
                  <c:v>294/887-896</c:v>
                </c:pt>
                <c:pt idx="3">
                  <c:v>304/897-906</c:v>
                </c:pt>
                <c:pt idx="4">
                  <c:v>314/907-916</c:v>
                </c:pt>
              </c:strCache>
            </c:strRef>
          </c:cat>
          <c:val>
            <c:numRef>
              <c:f>Sheet3!$B$11:$F$11</c:f>
              <c:numCache>
                <c:formatCode>General</c:formatCode>
                <c:ptCount val="5"/>
                <c:pt idx="3">
                  <c:v>1.61</c:v>
                </c:pt>
                <c:pt idx="4">
                  <c:v>17.739999999999998</c:v>
                </c:pt>
              </c:numCache>
            </c:numRef>
          </c:val>
          <c:extLst>
            <c:ext xmlns:c16="http://schemas.microsoft.com/office/drawing/2014/chart" uri="{C3380CC4-5D6E-409C-BE32-E72D297353CC}">
              <c16:uniqueId val="{00000001-94CA-49FB-8E64-5B929CA1527E}"/>
            </c:ext>
          </c:extLst>
        </c:ser>
        <c:ser>
          <c:idx val="2"/>
          <c:order val="2"/>
          <c:tx>
            <c:strRef>
              <c:f>Sheet3!$A$12</c:f>
              <c:strCache>
                <c:ptCount val="1"/>
                <c:pt idx="0">
                  <c:v>Андераб</c:v>
                </c:pt>
              </c:strCache>
            </c:strRef>
          </c:tx>
          <c:spPr>
            <a:solidFill>
              <a:srgbClr val="FFFFFF"/>
            </a:solidFill>
            <a:ln w="12691">
              <a:solidFill>
                <a:srgbClr val="000000"/>
              </a:solidFill>
              <a:prstDash val="solid"/>
            </a:ln>
          </c:spPr>
          <c:invertIfNegative val="0"/>
          <c:cat>
            <c:strRef>
              <c:f>Sheet3!$B$9:$F$9</c:f>
              <c:strCache>
                <c:ptCount val="5"/>
                <c:pt idx="0">
                  <c:v>274/867-876</c:v>
                </c:pt>
                <c:pt idx="1">
                  <c:v>284/877-886</c:v>
                </c:pt>
                <c:pt idx="2">
                  <c:v>294/887-896</c:v>
                </c:pt>
                <c:pt idx="3">
                  <c:v>304/897-906</c:v>
                </c:pt>
                <c:pt idx="4">
                  <c:v>314/907-916</c:v>
                </c:pt>
              </c:strCache>
            </c:strRef>
          </c:cat>
          <c:val>
            <c:numRef>
              <c:f>Sheet3!$B$12:$F$12</c:f>
              <c:numCache>
                <c:formatCode>General</c:formatCode>
                <c:ptCount val="5"/>
                <c:pt idx="2">
                  <c:v>1.61</c:v>
                </c:pt>
                <c:pt idx="3">
                  <c:v>3.22</c:v>
                </c:pt>
                <c:pt idx="4">
                  <c:v>3.22</c:v>
                </c:pt>
              </c:numCache>
            </c:numRef>
          </c:val>
          <c:extLst>
            <c:ext xmlns:c16="http://schemas.microsoft.com/office/drawing/2014/chart" uri="{C3380CC4-5D6E-409C-BE32-E72D297353CC}">
              <c16:uniqueId val="{00000002-94CA-49FB-8E64-5B929CA1527E}"/>
            </c:ext>
          </c:extLst>
        </c:ser>
        <c:ser>
          <c:idx val="3"/>
          <c:order val="3"/>
          <c:tx>
            <c:strRef>
              <c:f>Sheet3!$A$13</c:f>
              <c:strCache>
                <c:ptCount val="1"/>
                <c:pt idx="0">
                  <c:v>М/Салам</c:v>
                </c:pt>
              </c:strCache>
            </c:strRef>
          </c:tx>
          <c:spPr>
            <a:solidFill>
              <a:srgbClr val="A0E0E0"/>
            </a:solidFill>
            <a:ln w="12691">
              <a:solidFill>
                <a:srgbClr val="000000"/>
              </a:solidFill>
              <a:prstDash val="solid"/>
            </a:ln>
          </c:spPr>
          <c:invertIfNegative val="0"/>
          <c:cat>
            <c:strRef>
              <c:f>Sheet3!$B$9:$F$9</c:f>
              <c:strCache>
                <c:ptCount val="5"/>
                <c:pt idx="0">
                  <c:v>274/867-876</c:v>
                </c:pt>
                <c:pt idx="1">
                  <c:v>284/877-886</c:v>
                </c:pt>
                <c:pt idx="2">
                  <c:v>294/887-896</c:v>
                </c:pt>
                <c:pt idx="3">
                  <c:v>304/897-906</c:v>
                </c:pt>
                <c:pt idx="4">
                  <c:v>314/907-916</c:v>
                </c:pt>
              </c:strCache>
            </c:strRef>
          </c:cat>
          <c:val>
            <c:numRef>
              <c:f>Sheet3!$B$13:$F$13</c:f>
              <c:numCache>
                <c:formatCode>General</c:formatCode>
                <c:ptCount val="5"/>
                <c:pt idx="0">
                  <c:v>22.58</c:v>
                </c:pt>
              </c:numCache>
            </c:numRef>
          </c:val>
          <c:extLst>
            <c:ext xmlns:c16="http://schemas.microsoft.com/office/drawing/2014/chart" uri="{C3380CC4-5D6E-409C-BE32-E72D297353CC}">
              <c16:uniqueId val="{00000003-94CA-49FB-8E64-5B929CA1527E}"/>
            </c:ext>
          </c:extLst>
        </c:ser>
        <c:ser>
          <c:idx val="4"/>
          <c:order val="4"/>
          <c:tx>
            <c:strRef>
              <c:f>Sheet3!$A$14</c:f>
              <c:strCache>
                <c:ptCount val="1"/>
                <c:pt idx="0">
                  <c:v>Мухамадия</c:v>
                </c:pt>
              </c:strCache>
            </c:strRef>
          </c:tx>
          <c:spPr>
            <a:solidFill>
              <a:srgbClr val="600080"/>
            </a:solidFill>
            <a:ln w="12691">
              <a:solidFill>
                <a:srgbClr val="000000"/>
              </a:solidFill>
              <a:prstDash val="solid"/>
            </a:ln>
          </c:spPr>
          <c:invertIfNegative val="0"/>
          <c:cat>
            <c:strRef>
              <c:f>Sheet3!$B$9:$F$9</c:f>
              <c:strCache>
                <c:ptCount val="5"/>
                <c:pt idx="0">
                  <c:v>274/867-876</c:v>
                </c:pt>
                <c:pt idx="1">
                  <c:v>284/877-886</c:v>
                </c:pt>
                <c:pt idx="2">
                  <c:v>294/887-896</c:v>
                </c:pt>
                <c:pt idx="3">
                  <c:v>304/897-906</c:v>
                </c:pt>
                <c:pt idx="4">
                  <c:v>314/907-916</c:v>
                </c:pt>
              </c:strCache>
            </c:strRef>
          </c:cat>
          <c:val>
            <c:numRef>
              <c:f>Sheet3!$B$14:$F$14</c:f>
              <c:numCache>
                <c:formatCode>General</c:formatCode>
                <c:ptCount val="5"/>
                <c:pt idx="0">
                  <c:v>1.61</c:v>
                </c:pt>
              </c:numCache>
            </c:numRef>
          </c:val>
          <c:extLst>
            <c:ext xmlns:c16="http://schemas.microsoft.com/office/drawing/2014/chart" uri="{C3380CC4-5D6E-409C-BE32-E72D297353CC}">
              <c16:uniqueId val="{00000004-94CA-49FB-8E64-5B929CA1527E}"/>
            </c:ext>
          </c:extLst>
        </c:ser>
        <c:dLbls>
          <c:showLegendKey val="0"/>
          <c:showVal val="0"/>
          <c:showCatName val="0"/>
          <c:showSerName val="0"/>
          <c:showPercent val="0"/>
          <c:showBubbleSize val="0"/>
        </c:dLbls>
        <c:gapWidth val="150"/>
        <c:gapDepth val="0"/>
        <c:shape val="box"/>
        <c:axId val="2107987840"/>
        <c:axId val="1"/>
        <c:axId val="0"/>
      </c:bar3DChart>
      <c:catAx>
        <c:axId val="2107987840"/>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majorGridlines>
          <c:spPr>
            <a:ln w="3173">
              <a:solidFill>
                <a:srgbClr val="000000"/>
              </a:solidFill>
              <a:prstDash val="solid"/>
            </a:ln>
          </c:spPr>
        </c:majorGridlines>
        <c:title>
          <c:tx>
            <c:rich>
              <a:bodyPr/>
              <a:lstStyle/>
              <a:p>
                <a:pPr>
                  <a:defRPr sz="799" b="1" i="0" u="none" strike="noStrike" baseline="0">
                    <a:solidFill>
                      <a:srgbClr val="000000"/>
                    </a:solidFill>
                    <a:latin typeface="Arial Cyr"/>
                    <a:ea typeface="Arial Cyr"/>
                    <a:cs typeface="Arial Cyr"/>
                  </a:defRPr>
                </a:pPr>
                <a:r>
                  <a:rPr lang="ru-RU"/>
                  <a:t>%%</a:t>
                </a:r>
              </a:p>
            </c:rich>
          </c:tx>
          <c:layout>
            <c:manualLayout>
              <c:xMode val="edge"/>
              <c:yMode val="edge"/>
              <c:x val="7.2580645161290328E-2"/>
              <c:y val="0.33510638297872342"/>
            </c:manualLayout>
          </c:layout>
          <c:overlay val="0"/>
          <c:spPr>
            <a:noFill/>
            <a:ln w="25382">
              <a:noFill/>
            </a:ln>
          </c:spPr>
        </c:title>
        <c:numFmt formatCode="General" sourceLinked="1"/>
        <c:majorTickMark val="out"/>
        <c:minorTickMark val="none"/>
        <c:tickLblPos val="nextTo"/>
        <c:spPr>
          <a:ln w="3173">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2107987840"/>
        <c:crosses val="autoZero"/>
        <c:crossBetween val="between"/>
      </c:valAx>
      <c:spPr>
        <a:noFill/>
        <a:ln w="25382">
          <a:noFill/>
        </a:ln>
      </c:spPr>
    </c:plotArea>
    <c:legend>
      <c:legendPos val="r"/>
      <c:layout>
        <c:manualLayout>
          <c:xMode val="edge"/>
          <c:yMode val="edge"/>
          <c:x val="0.782258064516129"/>
          <c:y val="9.5744680851063829E-2"/>
          <c:w val="0.20698924731182797"/>
          <c:h val="0.81382978723404253"/>
        </c:manualLayout>
      </c:layout>
      <c:overlay val="0"/>
      <c:spPr>
        <a:solidFill>
          <a:srgbClr val="FFFFFF"/>
        </a:solidFill>
        <a:ln w="25382">
          <a:noFill/>
        </a:ln>
      </c:spPr>
      <c:txPr>
        <a:bodyPr/>
        <a:lstStyle/>
        <a:p>
          <a:pPr>
            <a:defRPr sz="734"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79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4"/>
      <c:rotY val="20"/>
      <c:depthPercent val="2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189189189189189"/>
          <c:y val="7.1770334928229665E-2"/>
          <c:w val="0.71959459459459463"/>
          <c:h val="0.69377990430622005"/>
        </c:manualLayout>
      </c:layout>
      <c:bar3DChart>
        <c:barDir val="col"/>
        <c:grouping val="clustered"/>
        <c:varyColors val="0"/>
        <c:ser>
          <c:idx val="0"/>
          <c:order val="0"/>
          <c:tx>
            <c:strRef>
              <c:f>Лист4!$A$19</c:f>
              <c:strCache>
                <c:ptCount val="1"/>
                <c:pt idx="0">
                  <c:v>%%</c:v>
                </c:pt>
              </c:strCache>
            </c:strRef>
          </c:tx>
          <c:spPr>
            <a:solidFill>
              <a:srgbClr val="8080FF"/>
            </a:solidFill>
            <a:ln w="12700">
              <a:solidFill>
                <a:srgbClr val="000000"/>
              </a:solidFill>
              <a:prstDash val="solid"/>
            </a:ln>
          </c:spPr>
          <c:invertIfNegative val="0"/>
          <c:cat>
            <c:strRef>
              <c:f>Лист4!$B$18:$H$18</c:f>
              <c:strCache>
                <c:ptCount val="7"/>
                <c:pt idx="0">
                  <c:v>193</c:v>
                </c:pt>
                <c:pt idx="1">
                  <c:v>243-252/865</c:v>
                </c:pt>
                <c:pt idx="2">
                  <c:v>253-262/275</c:v>
                </c:pt>
                <c:pt idx="3">
                  <c:v>263-272/285</c:v>
                </c:pt>
                <c:pt idx="4">
                  <c:v>273-282/895</c:v>
                </c:pt>
                <c:pt idx="5">
                  <c:v>283-292/905</c:v>
                </c:pt>
                <c:pt idx="6">
                  <c:v>293-302/915</c:v>
                </c:pt>
              </c:strCache>
            </c:strRef>
          </c:cat>
          <c:val>
            <c:numRef>
              <c:f>Лист4!$B$19:$H$19</c:f>
              <c:numCache>
                <c:formatCode>General</c:formatCode>
                <c:ptCount val="7"/>
                <c:pt idx="0">
                  <c:v>0.61</c:v>
                </c:pt>
                <c:pt idx="1">
                  <c:v>1.22</c:v>
                </c:pt>
                <c:pt idx="4">
                  <c:v>0.61</c:v>
                </c:pt>
                <c:pt idx="5">
                  <c:v>32.520000000000003</c:v>
                </c:pt>
                <c:pt idx="6">
                  <c:v>65.03</c:v>
                </c:pt>
              </c:numCache>
            </c:numRef>
          </c:val>
          <c:extLst>
            <c:ext xmlns:c16="http://schemas.microsoft.com/office/drawing/2014/chart" uri="{C3380CC4-5D6E-409C-BE32-E72D297353CC}">
              <c16:uniqueId val="{00000000-3BC3-4FDF-B726-941052167980}"/>
            </c:ext>
          </c:extLst>
        </c:ser>
        <c:dLbls>
          <c:showLegendKey val="0"/>
          <c:showVal val="0"/>
          <c:showCatName val="0"/>
          <c:showSerName val="0"/>
          <c:showPercent val="0"/>
          <c:showBubbleSize val="0"/>
        </c:dLbls>
        <c:gapWidth val="150"/>
        <c:gapDepth val="0"/>
        <c:shape val="box"/>
        <c:axId val="2103954624"/>
        <c:axId val="1"/>
        <c:axId val="0"/>
      </c:bar3DChart>
      <c:catAx>
        <c:axId val="21039546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2"/>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ru-RU"/>
                  <a:t>%%</a:t>
                </a:r>
              </a:p>
            </c:rich>
          </c:tx>
          <c:layout>
            <c:manualLayout>
              <c:xMode val="edge"/>
              <c:yMode val="edge"/>
              <c:x val="3.7162162162162164E-2"/>
              <c:y val="0.37799043062200954"/>
            </c:manualLayout>
          </c:layout>
          <c:overlay val="0"/>
          <c:spPr>
            <a:noFill/>
            <a:ln w="25401">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103954624"/>
        <c:crosses val="autoZero"/>
        <c:crossBetween val="between"/>
      </c:valAx>
      <c:spPr>
        <a:noFill/>
        <a:ln w="25401">
          <a:noFill/>
        </a:ln>
      </c:spPr>
    </c:plotArea>
    <c:legend>
      <c:legendPos val="r"/>
      <c:layout>
        <c:manualLayout>
          <c:xMode val="edge"/>
          <c:yMode val="edge"/>
          <c:x val="0.85472972972972971"/>
          <c:y val="0.60287081339712922"/>
          <c:w val="0.12837837837837837"/>
          <c:h val="9.569377990430622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8442211055276382"/>
          <c:y val="0.25283018867924528"/>
          <c:w val="0.34422110552763818"/>
          <c:h val="0.51698113207547169"/>
        </c:manualLayout>
      </c:layout>
      <c:pieChart>
        <c:varyColors val="1"/>
        <c:ser>
          <c:idx val="0"/>
          <c:order val="0"/>
          <c:spPr>
            <a:solidFill>
              <a:srgbClr val="8080FF"/>
            </a:solidFill>
            <a:ln w="12692">
              <a:solidFill>
                <a:srgbClr val="000000"/>
              </a:solidFill>
              <a:prstDash val="solid"/>
            </a:ln>
          </c:spPr>
          <c:dPt>
            <c:idx val="0"/>
            <c:bubble3D val="0"/>
            <c:extLst>
              <c:ext xmlns:c16="http://schemas.microsoft.com/office/drawing/2014/chart" uri="{C3380CC4-5D6E-409C-BE32-E72D297353CC}">
                <c16:uniqueId val="{00000000-946B-43CB-B5B1-D07FFE291E8D}"/>
              </c:ext>
            </c:extLst>
          </c:dPt>
          <c:dPt>
            <c:idx val="1"/>
            <c:bubble3D val="0"/>
            <c:spPr>
              <a:solidFill>
                <a:srgbClr val="802060"/>
              </a:solidFill>
              <a:ln w="12692">
                <a:solidFill>
                  <a:srgbClr val="000000"/>
                </a:solidFill>
                <a:prstDash val="solid"/>
              </a:ln>
            </c:spPr>
            <c:extLst>
              <c:ext xmlns:c16="http://schemas.microsoft.com/office/drawing/2014/chart" uri="{C3380CC4-5D6E-409C-BE32-E72D297353CC}">
                <c16:uniqueId val="{00000001-946B-43CB-B5B1-D07FFE291E8D}"/>
              </c:ext>
            </c:extLst>
          </c:dPt>
          <c:dPt>
            <c:idx val="2"/>
            <c:bubble3D val="0"/>
            <c:spPr>
              <a:solidFill>
                <a:srgbClr val="FFFFC0"/>
              </a:solidFill>
              <a:ln w="12692">
                <a:solidFill>
                  <a:srgbClr val="000000"/>
                </a:solidFill>
                <a:prstDash val="solid"/>
              </a:ln>
            </c:spPr>
            <c:extLst>
              <c:ext xmlns:c16="http://schemas.microsoft.com/office/drawing/2014/chart" uri="{C3380CC4-5D6E-409C-BE32-E72D297353CC}">
                <c16:uniqueId val="{00000002-946B-43CB-B5B1-D07FFE291E8D}"/>
              </c:ext>
            </c:extLst>
          </c:dPt>
          <c:dPt>
            <c:idx val="3"/>
            <c:bubble3D val="0"/>
            <c:spPr>
              <a:solidFill>
                <a:srgbClr val="A0E0E0"/>
              </a:solidFill>
              <a:ln w="12692">
                <a:solidFill>
                  <a:srgbClr val="000000"/>
                </a:solidFill>
                <a:prstDash val="solid"/>
              </a:ln>
            </c:spPr>
            <c:extLst>
              <c:ext xmlns:c16="http://schemas.microsoft.com/office/drawing/2014/chart" uri="{C3380CC4-5D6E-409C-BE32-E72D297353CC}">
                <c16:uniqueId val="{00000003-946B-43CB-B5B1-D07FFE291E8D}"/>
              </c:ext>
            </c:extLst>
          </c:dPt>
          <c:dPt>
            <c:idx val="4"/>
            <c:bubble3D val="0"/>
            <c:spPr>
              <a:solidFill>
                <a:srgbClr val="600080"/>
              </a:solidFill>
              <a:ln w="12692">
                <a:solidFill>
                  <a:srgbClr val="000000"/>
                </a:solidFill>
                <a:prstDash val="solid"/>
              </a:ln>
            </c:spPr>
            <c:extLst>
              <c:ext xmlns:c16="http://schemas.microsoft.com/office/drawing/2014/chart" uri="{C3380CC4-5D6E-409C-BE32-E72D297353CC}">
                <c16:uniqueId val="{00000004-946B-43CB-B5B1-D07FFE291E8D}"/>
              </c:ext>
            </c:extLst>
          </c:dPt>
          <c:dPt>
            <c:idx val="5"/>
            <c:bubble3D val="0"/>
            <c:spPr>
              <a:solidFill>
                <a:srgbClr val="FF8080"/>
              </a:solidFill>
              <a:ln w="12692">
                <a:solidFill>
                  <a:srgbClr val="000000"/>
                </a:solidFill>
                <a:prstDash val="solid"/>
              </a:ln>
            </c:spPr>
            <c:extLst>
              <c:ext xmlns:c16="http://schemas.microsoft.com/office/drawing/2014/chart" uri="{C3380CC4-5D6E-409C-BE32-E72D297353CC}">
                <c16:uniqueId val="{00000005-946B-43CB-B5B1-D07FFE291E8D}"/>
              </c:ext>
            </c:extLst>
          </c:dPt>
          <c:dLbls>
            <c:numFmt formatCode="0%" sourceLinked="0"/>
            <c:spPr>
              <a:noFill/>
              <a:ln w="25383">
                <a:noFill/>
              </a:ln>
            </c:spPr>
            <c:txPr>
              <a:bodyPr wrap="square" lIns="38100" tIns="19050" rIns="38100" bIns="19050" anchor="ctr">
                <a:spAutoFit/>
              </a:bodyPr>
              <a:lstStyle/>
              <a:p>
                <a:pPr>
                  <a:defRPr sz="799" b="0" i="0" u="none" strike="noStrike" baseline="0">
                    <a:solidFill>
                      <a:srgbClr val="000000"/>
                    </a:solidFill>
                    <a:latin typeface="Arial Cyr"/>
                    <a:ea typeface="Arial Cyr"/>
                    <a:cs typeface="Arial Cyr"/>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Лист4!$C$22:$C$27</c:f>
              <c:strCache>
                <c:ptCount val="6"/>
                <c:pt idx="0">
                  <c:v>аш-Шаш</c:v>
                </c:pt>
                <c:pt idx="1">
                  <c:v>Нисабур</c:v>
                </c:pt>
                <c:pt idx="2">
                  <c:v>Самарканд </c:v>
                </c:pt>
                <c:pt idx="3">
                  <c:v>Андераб</c:v>
                </c:pt>
                <c:pt idx="4">
                  <c:v>Пр.</c:v>
                </c:pt>
                <c:pt idx="5">
                  <c:v>Мерв</c:v>
                </c:pt>
              </c:strCache>
            </c:strRef>
          </c:cat>
          <c:val>
            <c:numRef>
              <c:f>Лист4!$D$22:$D$27</c:f>
              <c:numCache>
                <c:formatCode>General</c:formatCode>
                <c:ptCount val="6"/>
                <c:pt idx="0">
                  <c:v>85</c:v>
                </c:pt>
                <c:pt idx="1">
                  <c:v>3</c:v>
                </c:pt>
                <c:pt idx="2">
                  <c:v>44</c:v>
                </c:pt>
                <c:pt idx="3">
                  <c:v>12</c:v>
                </c:pt>
                <c:pt idx="4">
                  <c:v>12</c:v>
                </c:pt>
                <c:pt idx="5">
                  <c:v>1</c:v>
                </c:pt>
              </c:numCache>
            </c:numRef>
          </c:val>
          <c:extLst>
            <c:ext xmlns:c16="http://schemas.microsoft.com/office/drawing/2014/chart" uri="{C3380CC4-5D6E-409C-BE32-E72D297353CC}">
              <c16:uniqueId val="{00000006-946B-43CB-B5B1-D07FFE291E8D}"/>
            </c:ext>
          </c:extLst>
        </c:ser>
        <c:dLbls>
          <c:dLblPos val="outEnd"/>
          <c:showLegendKey val="0"/>
          <c:showVal val="0"/>
          <c:showCatName val="1"/>
          <c:showSerName val="0"/>
          <c:showPercent val="1"/>
          <c:showBubbleSize val="0"/>
          <c:showLeaderLines val="0"/>
        </c:dLbls>
        <c:firstSliceAng val="0"/>
      </c:pieChart>
      <c:spPr>
        <a:noFill/>
        <a:ln w="25383">
          <a:noFill/>
        </a:ln>
      </c:spPr>
    </c:plotArea>
    <c:plotVisOnly val="1"/>
    <c:dispBlanksAs val="zero"/>
    <c:showDLblsOverMax val="0"/>
  </c:chart>
  <c:spPr>
    <a:solidFill>
      <a:srgbClr val="FFFFFF"/>
    </a:solidFill>
    <a:ln w="3173">
      <a:solidFill>
        <a:srgbClr val="000000"/>
      </a:solidFill>
      <a:prstDash val="solid"/>
    </a:ln>
    <a:effectLst>
      <a:outerShdw dist="35921" dir="2700000" algn="br">
        <a:srgbClr val="000000"/>
      </a:outerShdw>
    </a:effectLst>
  </c:spPr>
  <c:txPr>
    <a:bodyPr/>
    <a:lstStyle/>
    <a:p>
      <a:pPr>
        <a:defRPr sz="79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5"/>
      <c:hPercent val="99"/>
      <c:rotY val="10"/>
      <c:depthPercent val="2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276595744680851"/>
          <c:y val="0"/>
          <c:w val="0.5835866261398176"/>
          <c:h val="0.86008230452674894"/>
        </c:manualLayout>
      </c:layout>
      <c:bar3DChart>
        <c:barDir val="col"/>
        <c:grouping val="stacked"/>
        <c:varyColors val="0"/>
        <c:ser>
          <c:idx val="0"/>
          <c:order val="0"/>
          <c:tx>
            <c:strRef>
              <c:f>Лист1!$A$17</c:f>
              <c:strCache>
                <c:ptCount val="1"/>
                <c:pt idx="0">
                  <c:v>Саффариды</c:v>
                </c:pt>
              </c:strCache>
            </c:strRef>
          </c:tx>
          <c:spPr>
            <a:solidFill>
              <a:srgbClr val="9999FF"/>
            </a:solidFill>
            <a:ln w="12693">
              <a:solidFill>
                <a:srgbClr val="000000"/>
              </a:solidFill>
              <a:prstDash val="solid"/>
            </a:ln>
          </c:spPr>
          <c:invertIfNegative val="0"/>
          <c:cat>
            <c:strRef>
              <c:f>Лист1!$B$16:$D$16</c:f>
              <c:strCache>
                <c:ptCount val="3"/>
                <c:pt idx="0">
                  <c:v>875-884</c:v>
                </c:pt>
                <c:pt idx="1">
                  <c:v>895-914</c:v>
                </c:pt>
                <c:pt idx="2">
                  <c:v>905-614</c:v>
                </c:pt>
              </c:strCache>
            </c:strRef>
          </c:cat>
          <c:val>
            <c:numRef>
              <c:f>Лист1!$B$17:$D$17</c:f>
              <c:numCache>
                <c:formatCode>General</c:formatCode>
                <c:ptCount val="3"/>
                <c:pt idx="1">
                  <c:v>2.72</c:v>
                </c:pt>
              </c:numCache>
            </c:numRef>
          </c:val>
          <c:extLst>
            <c:ext xmlns:c16="http://schemas.microsoft.com/office/drawing/2014/chart" uri="{C3380CC4-5D6E-409C-BE32-E72D297353CC}">
              <c16:uniqueId val="{00000000-1CC1-402C-ADDB-4C2056917F00}"/>
            </c:ext>
          </c:extLst>
        </c:ser>
        <c:ser>
          <c:idx val="1"/>
          <c:order val="1"/>
          <c:tx>
            <c:strRef>
              <c:f>Лист1!$A$18</c:f>
              <c:strCache>
                <c:ptCount val="1"/>
                <c:pt idx="0">
                  <c:v>Аббасиды</c:v>
                </c:pt>
              </c:strCache>
            </c:strRef>
          </c:tx>
          <c:spPr>
            <a:solidFill>
              <a:srgbClr val="000000"/>
            </a:solidFill>
            <a:ln w="12693">
              <a:solidFill>
                <a:srgbClr val="000000"/>
              </a:solidFill>
              <a:prstDash val="solid"/>
            </a:ln>
          </c:spPr>
          <c:invertIfNegative val="0"/>
          <c:cat>
            <c:strRef>
              <c:f>Лист1!$B$16:$D$16</c:f>
              <c:strCache>
                <c:ptCount val="3"/>
                <c:pt idx="0">
                  <c:v>875-884</c:v>
                </c:pt>
                <c:pt idx="1">
                  <c:v>895-914</c:v>
                </c:pt>
                <c:pt idx="2">
                  <c:v>905-614</c:v>
                </c:pt>
              </c:strCache>
            </c:strRef>
          </c:cat>
          <c:val>
            <c:numRef>
              <c:f>Лист1!$B$18:$D$18</c:f>
              <c:numCache>
                <c:formatCode>General</c:formatCode>
                <c:ptCount val="3"/>
                <c:pt idx="0">
                  <c:v>0.78</c:v>
                </c:pt>
                <c:pt idx="1">
                  <c:v>1.2</c:v>
                </c:pt>
              </c:numCache>
            </c:numRef>
          </c:val>
          <c:extLst>
            <c:ext xmlns:c16="http://schemas.microsoft.com/office/drawing/2014/chart" uri="{C3380CC4-5D6E-409C-BE32-E72D297353CC}">
              <c16:uniqueId val="{00000001-1CC1-402C-ADDB-4C2056917F00}"/>
            </c:ext>
          </c:extLst>
        </c:ser>
        <c:ser>
          <c:idx val="2"/>
          <c:order val="2"/>
          <c:tx>
            <c:strRef>
              <c:f>Лист1!$A$19</c:f>
              <c:strCache>
                <c:ptCount val="1"/>
                <c:pt idx="0">
                  <c:v>Саманиды</c:v>
                </c:pt>
              </c:strCache>
            </c:strRef>
          </c:tx>
          <c:spPr>
            <a:solidFill>
              <a:srgbClr val="FFFFCC"/>
            </a:solidFill>
            <a:ln w="12693">
              <a:solidFill>
                <a:srgbClr val="000000"/>
              </a:solidFill>
              <a:prstDash val="solid"/>
            </a:ln>
          </c:spPr>
          <c:invertIfNegative val="0"/>
          <c:cat>
            <c:strRef>
              <c:f>Лист1!$B$16:$D$16</c:f>
              <c:strCache>
                <c:ptCount val="3"/>
                <c:pt idx="0">
                  <c:v>875-884</c:v>
                </c:pt>
                <c:pt idx="1">
                  <c:v>895-914</c:v>
                </c:pt>
                <c:pt idx="2">
                  <c:v>905-614</c:v>
                </c:pt>
              </c:strCache>
            </c:strRef>
          </c:cat>
          <c:val>
            <c:numRef>
              <c:f>Лист1!$B$19:$D$19</c:f>
              <c:numCache>
                <c:formatCode>General</c:formatCode>
                <c:ptCount val="3"/>
                <c:pt idx="1">
                  <c:v>60.31</c:v>
                </c:pt>
                <c:pt idx="2">
                  <c:v>34.24</c:v>
                </c:pt>
              </c:numCache>
            </c:numRef>
          </c:val>
          <c:extLst>
            <c:ext xmlns:c16="http://schemas.microsoft.com/office/drawing/2014/chart" uri="{C3380CC4-5D6E-409C-BE32-E72D297353CC}">
              <c16:uniqueId val="{00000002-1CC1-402C-ADDB-4C2056917F00}"/>
            </c:ext>
          </c:extLst>
        </c:ser>
        <c:ser>
          <c:idx val="3"/>
          <c:order val="3"/>
          <c:tx>
            <c:strRef>
              <c:f>Лист1!$A$20</c:f>
              <c:strCache>
                <c:ptCount val="1"/>
                <c:pt idx="0">
                  <c:v>Подражания</c:v>
                </c:pt>
              </c:strCache>
            </c:strRef>
          </c:tx>
          <c:spPr>
            <a:solidFill>
              <a:srgbClr val="CCFFFF"/>
            </a:solidFill>
            <a:ln w="12693">
              <a:solidFill>
                <a:srgbClr val="000000"/>
              </a:solidFill>
              <a:prstDash val="solid"/>
            </a:ln>
          </c:spPr>
          <c:invertIfNegative val="0"/>
          <c:cat>
            <c:strRef>
              <c:f>Лист1!$B$16:$D$16</c:f>
              <c:strCache>
                <c:ptCount val="3"/>
                <c:pt idx="0">
                  <c:v>875-884</c:v>
                </c:pt>
                <c:pt idx="1">
                  <c:v>895-914</c:v>
                </c:pt>
                <c:pt idx="2">
                  <c:v>905-614</c:v>
                </c:pt>
              </c:strCache>
            </c:strRef>
          </c:cat>
          <c:val>
            <c:numRef>
              <c:f>Лист1!$B$20:$D$20</c:f>
              <c:numCache>
                <c:formatCode>General</c:formatCode>
                <c:ptCount val="3"/>
                <c:pt idx="1">
                  <c:v>2.33</c:v>
                </c:pt>
              </c:numCache>
            </c:numRef>
          </c:val>
          <c:extLst>
            <c:ext xmlns:c16="http://schemas.microsoft.com/office/drawing/2014/chart" uri="{C3380CC4-5D6E-409C-BE32-E72D297353CC}">
              <c16:uniqueId val="{00000003-1CC1-402C-ADDB-4C2056917F00}"/>
            </c:ext>
          </c:extLst>
        </c:ser>
        <c:dLbls>
          <c:showLegendKey val="0"/>
          <c:showVal val="0"/>
          <c:showCatName val="0"/>
          <c:showSerName val="0"/>
          <c:showPercent val="0"/>
          <c:showBubbleSize val="0"/>
        </c:dLbls>
        <c:gapWidth val="150"/>
        <c:gapDepth val="0"/>
        <c:shape val="box"/>
        <c:axId val="2108090976"/>
        <c:axId val="1"/>
        <c:axId val="0"/>
      </c:bar3DChart>
      <c:catAx>
        <c:axId val="2108090976"/>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majorGridlines>
          <c:spPr>
            <a:ln w="3173">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ru-RU"/>
                  <a:t>%%</a:t>
                </a:r>
              </a:p>
            </c:rich>
          </c:tx>
          <c:layout>
            <c:manualLayout>
              <c:xMode val="edge"/>
              <c:yMode val="edge"/>
              <c:x val="6.0790273556231003E-3"/>
              <c:y val="0.40740740740740738"/>
            </c:manualLayout>
          </c:layout>
          <c:overlay val="0"/>
          <c:spPr>
            <a:noFill/>
            <a:ln w="25386">
              <a:noFill/>
            </a:ln>
          </c:spPr>
        </c:title>
        <c:numFmt formatCode="General" sourceLinked="1"/>
        <c:majorTickMark val="out"/>
        <c:minorTickMark val="none"/>
        <c:tickLblPos val="nextTo"/>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108090976"/>
        <c:crosses val="autoZero"/>
        <c:crossBetween val="between"/>
      </c:valAx>
      <c:spPr>
        <a:noFill/>
        <a:ln w="25386">
          <a:noFill/>
        </a:ln>
      </c:spPr>
    </c:plotArea>
    <c:legend>
      <c:legendPos val="r"/>
      <c:layout>
        <c:manualLayout>
          <c:xMode val="edge"/>
          <c:yMode val="edge"/>
          <c:x val="0.74468085106382975"/>
          <c:y val="0.32510288065843623"/>
          <c:w val="0.24620060790273557"/>
          <c:h val="0.3168724279835391"/>
        </c:manualLayout>
      </c:layout>
      <c:overlay val="0"/>
      <c:spPr>
        <a:solidFill>
          <a:srgbClr val="FFFFFF"/>
        </a:solidFill>
        <a:ln w="3173">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3">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687500000000001"/>
          <c:y val="0.20817843866171004"/>
          <c:w val="0.52187499999999998"/>
          <c:h val="0.620817843866171"/>
        </c:manualLayout>
      </c:layout>
      <c:pieChart>
        <c:varyColors val="1"/>
        <c:ser>
          <c:idx val="0"/>
          <c:order val="0"/>
          <c:spPr>
            <a:solidFill>
              <a:srgbClr val="9999FF"/>
            </a:solidFill>
            <a:ln w="12700">
              <a:solidFill>
                <a:srgbClr val="000000"/>
              </a:solidFill>
              <a:prstDash val="solid"/>
            </a:ln>
          </c:spPr>
          <c:dPt>
            <c:idx val="0"/>
            <c:bubble3D val="0"/>
            <c:extLst>
              <c:ext xmlns:c16="http://schemas.microsoft.com/office/drawing/2014/chart" uri="{C3380CC4-5D6E-409C-BE32-E72D297353CC}">
                <c16:uniqueId val="{00000000-6597-4836-BF02-6647FC20C0E0}"/>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6597-4836-BF02-6647FC20C0E0}"/>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2-6597-4836-BF02-6647FC20C0E0}"/>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3-6597-4836-BF02-6647FC20C0E0}"/>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4-6597-4836-BF02-6647FC20C0E0}"/>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5-6597-4836-BF02-6647FC20C0E0}"/>
              </c:ext>
            </c:extLst>
          </c:dPt>
          <c:dLbls>
            <c:dLbl>
              <c:idx val="2"/>
              <c:numFmt formatCode="0%" sourceLinked="0"/>
              <c:spPr>
                <a:noFill/>
                <a:ln w="25400">
                  <a:noFill/>
                </a:ln>
              </c:spPr>
              <c:txPr>
                <a:bodyPr/>
                <a:lstStyle/>
                <a:p>
                  <a:pPr>
                    <a:defRPr sz="700" b="0" i="0" u="none" strike="noStrike" baseline="0">
                      <a:solidFill>
                        <a:srgbClr val="000000"/>
                      </a:solidFill>
                      <a:latin typeface="Arial Cyr"/>
                      <a:ea typeface="Arial Cyr"/>
                      <a:cs typeface="Arial Cyr"/>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2-6597-4836-BF02-6647FC20C0E0}"/>
                </c:ext>
              </c:extLst>
            </c:dLbl>
            <c:dLbl>
              <c:idx val="3"/>
              <c:layout>
                <c:manualLayout>
                  <c:xMode val="edge"/>
                  <c:yMode val="edge"/>
                  <c:x val="0.21249999999999999"/>
                  <c:y val="0.15241635687732341"/>
                </c:manualLayout>
              </c:layout>
              <c:numFmt formatCode="0%" sourceLinked="0"/>
              <c:spPr>
                <a:noFill/>
                <a:ln w="25400">
                  <a:noFill/>
                </a:ln>
              </c:spPr>
              <c:txPr>
                <a:bodyPr/>
                <a:lstStyle/>
                <a:p>
                  <a:pPr>
                    <a:defRPr sz="8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597-4836-BF02-6647FC20C0E0}"/>
                </c:ext>
              </c:extLst>
            </c:dLbl>
            <c:dLbl>
              <c:idx val="4"/>
              <c:layout>
                <c:manualLayout>
                  <c:xMode val="edge"/>
                  <c:yMode val="edge"/>
                  <c:x val="0.359375"/>
                  <c:y val="0.10408921933085502"/>
                </c:manualLayout>
              </c:layout>
              <c:numFmt formatCode="0%" sourceLinked="0"/>
              <c:spPr>
                <a:noFill/>
                <a:ln w="25400">
                  <a:noFill/>
                </a:ln>
              </c:spPr>
              <c:txPr>
                <a:bodyPr/>
                <a:lstStyle/>
                <a:p>
                  <a:pPr>
                    <a:defRPr sz="8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6597-4836-BF02-6647FC20C0E0}"/>
                </c:ext>
              </c:extLst>
            </c:dLbl>
            <c:dLbl>
              <c:idx val="5"/>
              <c:layout>
                <c:manualLayout>
                  <c:xMode val="edge"/>
                  <c:yMode val="edge"/>
                  <c:x val="0.45937499999999998"/>
                  <c:y val="6.6914498141263934E-2"/>
                </c:manualLayout>
              </c:layout>
              <c:numFmt formatCode="0%" sourceLinked="0"/>
              <c:spPr>
                <a:noFill/>
                <a:ln w="25400">
                  <a:noFill/>
                </a:ln>
              </c:spPr>
              <c:txPr>
                <a:bodyPr/>
                <a:lstStyle/>
                <a:p>
                  <a:pPr>
                    <a:defRPr sz="8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597-4836-BF02-6647FC20C0E0}"/>
                </c:ext>
              </c:extLst>
            </c:dLbl>
            <c:numFmt formatCode="0%" sourceLinked="0"/>
            <c:spPr>
              <a:noFill/>
              <a:ln w="25400">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Лист1!$A$3:$A$8</c:f>
              <c:strCache>
                <c:ptCount val="6"/>
                <c:pt idx="0">
                  <c:v>аш-Шаш</c:v>
                </c:pt>
                <c:pt idx="1">
                  <c:v>Нисабур</c:v>
                </c:pt>
                <c:pt idx="2">
                  <c:v>Самарканд</c:v>
                </c:pt>
                <c:pt idx="3">
                  <c:v>Андераб</c:v>
                </c:pt>
                <c:pt idx="4">
                  <c:v>Балх</c:v>
                </c:pt>
                <c:pt idx="5">
                  <c:v>Пр.</c:v>
                </c:pt>
              </c:strCache>
            </c:strRef>
          </c:cat>
          <c:val>
            <c:numRef>
              <c:f>Лист1!$B$3:$B$8</c:f>
              <c:numCache>
                <c:formatCode>General</c:formatCode>
                <c:ptCount val="6"/>
                <c:pt idx="0">
                  <c:v>156</c:v>
                </c:pt>
                <c:pt idx="1">
                  <c:v>5</c:v>
                </c:pt>
                <c:pt idx="2">
                  <c:v>62</c:v>
                </c:pt>
                <c:pt idx="3">
                  <c:v>10</c:v>
                </c:pt>
                <c:pt idx="4">
                  <c:v>9</c:v>
                </c:pt>
                <c:pt idx="5">
                  <c:v>6</c:v>
                </c:pt>
              </c:numCache>
            </c:numRef>
          </c:val>
          <c:extLst>
            <c:ext xmlns:c16="http://schemas.microsoft.com/office/drawing/2014/chart" uri="{C3380CC4-5D6E-409C-BE32-E72D297353CC}">
              <c16:uniqueId val="{00000006-6597-4836-BF02-6647FC20C0E0}"/>
            </c:ext>
          </c:extLst>
        </c:ser>
        <c:dLbls>
          <c:dLblPos val="outEnd"/>
          <c:showLegendKey val="0"/>
          <c:showVal val="0"/>
          <c:showCatName val="1"/>
          <c:showSerName val="0"/>
          <c:showPercent val="1"/>
          <c:showBubbleSize val="0"/>
          <c:showLeaderLines val="0"/>
        </c:dLbls>
        <c:firstSliceAng val="0"/>
      </c:pieChart>
      <c:spPr>
        <a:noFill/>
        <a:ln w="25400">
          <a:noFill/>
        </a:ln>
      </c:spPr>
    </c:plotArea>
    <c:plotVisOnly val="1"/>
    <c:dispBlanksAs val="zero"/>
    <c:showDLblsOverMax val="0"/>
  </c:chart>
  <c:spPr>
    <a:solidFill>
      <a:srgbClr val="FFFFFF"/>
    </a:solidFill>
    <a:ln w="12700">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5"/>
      <c:hPercent val="75"/>
      <c:rotY val="10"/>
      <c:depthPercent val="2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4383561643835616"/>
          <c:y val="0.10326086956521739"/>
          <c:w val="0.5821917808219178"/>
          <c:h val="0.54891304347826086"/>
        </c:manualLayout>
      </c:layout>
      <c:bar3DChart>
        <c:barDir val="col"/>
        <c:grouping val="stacked"/>
        <c:varyColors val="0"/>
        <c:ser>
          <c:idx val="0"/>
          <c:order val="0"/>
          <c:tx>
            <c:strRef>
              <c:f>Лист3!$A$13</c:f>
              <c:strCache>
                <c:ptCount val="1"/>
                <c:pt idx="0">
                  <c:v>аш-Шаш</c:v>
                </c:pt>
              </c:strCache>
            </c:strRef>
          </c:tx>
          <c:spPr>
            <a:solidFill>
              <a:srgbClr val="8080FF"/>
            </a:solidFill>
            <a:ln w="12700">
              <a:solidFill>
                <a:srgbClr val="000000"/>
              </a:solidFill>
              <a:prstDash val="solid"/>
            </a:ln>
          </c:spPr>
          <c:invertIfNegative val="0"/>
          <c:cat>
            <c:strRef>
              <c:f>Лист3!$B$12:$E$12</c:f>
              <c:strCache>
                <c:ptCount val="4"/>
                <c:pt idx="0">
                  <c:v>110/729</c:v>
                </c:pt>
                <c:pt idx="1">
                  <c:v>281/894-903</c:v>
                </c:pt>
                <c:pt idx="2">
                  <c:v>291/904-913</c:v>
                </c:pt>
                <c:pt idx="3">
                  <c:v>301/914-923</c:v>
                </c:pt>
              </c:strCache>
            </c:strRef>
          </c:cat>
          <c:val>
            <c:numRef>
              <c:f>Лист3!$B$13:$E$13</c:f>
              <c:numCache>
                <c:formatCode>General</c:formatCode>
                <c:ptCount val="4"/>
                <c:pt idx="1">
                  <c:v>27.27</c:v>
                </c:pt>
                <c:pt idx="2">
                  <c:v>18.809999999999999</c:v>
                </c:pt>
                <c:pt idx="3">
                  <c:v>9.09</c:v>
                </c:pt>
              </c:numCache>
            </c:numRef>
          </c:val>
          <c:extLst>
            <c:ext xmlns:c16="http://schemas.microsoft.com/office/drawing/2014/chart" uri="{C3380CC4-5D6E-409C-BE32-E72D297353CC}">
              <c16:uniqueId val="{00000000-5A9E-41AD-A09F-E3E00AFE99FD}"/>
            </c:ext>
          </c:extLst>
        </c:ser>
        <c:ser>
          <c:idx val="1"/>
          <c:order val="1"/>
          <c:tx>
            <c:strRef>
              <c:f>Лист3!$A$14</c:f>
              <c:strCache>
                <c:ptCount val="1"/>
                <c:pt idx="0">
                  <c:v>Нисабур</c:v>
                </c:pt>
              </c:strCache>
            </c:strRef>
          </c:tx>
          <c:spPr>
            <a:solidFill>
              <a:srgbClr val="802060"/>
            </a:solidFill>
            <a:ln w="12700">
              <a:solidFill>
                <a:srgbClr val="000000"/>
              </a:solidFill>
              <a:prstDash val="solid"/>
            </a:ln>
          </c:spPr>
          <c:invertIfNegative val="0"/>
          <c:cat>
            <c:strRef>
              <c:f>Лист3!$B$12:$E$12</c:f>
              <c:strCache>
                <c:ptCount val="4"/>
                <c:pt idx="0">
                  <c:v>110/729</c:v>
                </c:pt>
                <c:pt idx="1">
                  <c:v>281/894-903</c:v>
                </c:pt>
                <c:pt idx="2">
                  <c:v>291/904-913</c:v>
                </c:pt>
                <c:pt idx="3">
                  <c:v>301/914-923</c:v>
                </c:pt>
              </c:strCache>
            </c:strRef>
          </c:cat>
          <c:val>
            <c:numRef>
              <c:f>Лист3!$B$14:$E$14</c:f>
              <c:numCache>
                <c:formatCode>General</c:formatCode>
                <c:ptCount val="4"/>
              </c:numCache>
            </c:numRef>
          </c:val>
          <c:extLst>
            <c:ext xmlns:c16="http://schemas.microsoft.com/office/drawing/2014/chart" uri="{C3380CC4-5D6E-409C-BE32-E72D297353CC}">
              <c16:uniqueId val="{00000001-5A9E-41AD-A09F-E3E00AFE99FD}"/>
            </c:ext>
          </c:extLst>
        </c:ser>
        <c:ser>
          <c:idx val="2"/>
          <c:order val="2"/>
          <c:tx>
            <c:strRef>
              <c:f>Лист3!$A$15</c:f>
              <c:strCache>
                <c:ptCount val="1"/>
                <c:pt idx="0">
                  <c:v>Самарканд </c:v>
                </c:pt>
              </c:strCache>
            </c:strRef>
          </c:tx>
          <c:spPr>
            <a:solidFill>
              <a:srgbClr val="FFFFC0"/>
            </a:solidFill>
            <a:ln w="12700">
              <a:solidFill>
                <a:srgbClr val="000000"/>
              </a:solidFill>
              <a:prstDash val="solid"/>
            </a:ln>
          </c:spPr>
          <c:invertIfNegative val="0"/>
          <c:cat>
            <c:strRef>
              <c:f>Лист3!$B$12:$E$12</c:f>
              <c:strCache>
                <c:ptCount val="4"/>
                <c:pt idx="0">
                  <c:v>110/729</c:v>
                </c:pt>
                <c:pt idx="1">
                  <c:v>281/894-903</c:v>
                </c:pt>
                <c:pt idx="2">
                  <c:v>291/904-913</c:v>
                </c:pt>
                <c:pt idx="3">
                  <c:v>301/914-923</c:v>
                </c:pt>
              </c:strCache>
            </c:strRef>
          </c:cat>
          <c:val>
            <c:numRef>
              <c:f>Лист3!$B$15:$E$15</c:f>
              <c:numCache>
                <c:formatCode>General</c:formatCode>
                <c:ptCount val="4"/>
                <c:pt idx="2">
                  <c:v>13.63</c:v>
                </c:pt>
                <c:pt idx="3">
                  <c:v>9.09</c:v>
                </c:pt>
              </c:numCache>
            </c:numRef>
          </c:val>
          <c:extLst>
            <c:ext xmlns:c16="http://schemas.microsoft.com/office/drawing/2014/chart" uri="{C3380CC4-5D6E-409C-BE32-E72D297353CC}">
              <c16:uniqueId val="{00000002-5A9E-41AD-A09F-E3E00AFE99FD}"/>
            </c:ext>
          </c:extLst>
        </c:ser>
        <c:ser>
          <c:idx val="3"/>
          <c:order val="3"/>
          <c:tx>
            <c:strRef>
              <c:f>Лист3!$A$16</c:f>
              <c:strCache>
                <c:ptCount val="1"/>
                <c:pt idx="0">
                  <c:v>Андераб</c:v>
                </c:pt>
              </c:strCache>
            </c:strRef>
          </c:tx>
          <c:spPr>
            <a:solidFill>
              <a:srgbClr val="A0E0E0"/>
            </a:solidFill>
            <a:ln w="12700">
              <a:solidFill>
                <a:srgbClr val="000000"/>
              </a:solidFill>
              <a:prstDash val="solid"/>
            </a:ln>
          </c:spPr>
          <c:invertIfNegative val="0"/>
          <c:cat>
            <c:strRef>
              <c:f>Лист3!$B$12:$E$12</c:f>
              <c:strCache>
                <c:ptCount val="4"/>
                <c:pt idx="0">
                  <c:v>110/729</c:v>
                </c:pt>
                <c:pt idx="1">
                  <c:v>281/894-903</c:v>
                </c:pt>
                <c:pt idx="2">
                  <c:v>291/904-913</c:v>
                </c:pt>
                <c:pt idx="3">
                  <c:v>301/914-923</c:v>
                </c:pt>
              </c:strCache>
            </c:strRef>
          </c:cat>
          <c:val>
            <c:numRef>
              <c:f>Лист3!$B$16:$E$16</c:f>
              <c:numCache>
                <c:formatCode>General</c:formatCode>
                <c:ptCount val="4"/>
                <c:pt idx="2">
                  <c:v>4.54</c:v>
                </c:pt>
                <c:pt idx="3">
                  <c:v>13.63</c:v>
                </c:pt>
              </c:numCache>
            </c:numRef>
          </c:val>
          <c:extLst>
            <c:ext xmlns:c16="http://schemas.microsoft.com/office/drawing/2014/chart" uri="{C3380CC4-5D6E-409C-BE32-E72D297353CC}">
              <c16:uniqueId val="{00000003-5A9E-41AD-A09F-E3E00AFE99FD}"/>
            </c:ext>
          </c:extLst>
        </c:ser>
        <c:ser>
          <c:idx val="4"/>
          <c:order val="4"/>
          <c:tx>
            <c:strRef>
              <c:f>Лист3!$A$17</c:f>
              <c:strCache>
                <c:ptCount val="1"/>
                <c:pt idx="0">
                  <c:v>Васит</c:v>
                </c:pt>
              </c:strCache>
            </c:strRef>
          </c:tx>
          <c:spPr>
            <a:solidFill>
              <a:srgbClr val="000000"/>
            </a:solidFill>
            <a:ln w="12700">
              <a:solidFill>
                <a:srgbClr val="000000"/>
              </a:solidFill>
              <a:prstDash val="solid"/>
            </a:ln>
          </c:spPr>
          <c:invertIfNegative val="0"/>
          <c:cat>
            <c:strRef>
              <c:f>Лист3!$B$12:$E$12</c:f>
              <c:strCache>
                <c:ptCount val="4"/>
                <c:pt idx="0">
                  <c:v>110/729</c:v>
                </c:pt>
                <c:pt idx="1">
                  <c:v>281/894-903</c:v>
                </c:pt>
                <c:pt idx="2">
                  <c:v>291/904-913</c:v>
                </c:pt>
                <c:pt idx="3">
                  <c:v>301/914-923</c:v>
                </c:pt>
              </c:strCache>
            </c:strRef>
          </c:cat>
          <c:val>
            <c:numRef>
              <c:f>Лист3!$B$17:$E$17</c:f>
              <c:numCache>
                <c:formatCode>General</c:formatCode>
                <c:ptCount val="4"/>
                <c:pt idx="0">
                  <c:v>4.54</c:v>
                </c:pt>
              </c:numCache>
            </c:numRef>
          </c:val>
          <c:extLst>
            <c:ext xmlns:c16="http://schemas.microsoft.com/office/drawing/2014/chart" uri="{C3380CC4-5D6E-409C-BE32-E72D297353CC}">
              <c16:uniqueId val="{00000004-5A9E-41AD-A09F-E3E00AFE99FD}"/>
            </c:ext>
          </c:extLst>
        </c:ser>
        <c:dLbls>
          <c:showLegendKey val="0"/>
          <c:showVal val="0"/>
          <c:showCatName val="0"/>
          <c:showSerName val="0"/>
          <c:showPercent val="0"/>
          <c:showBubbleSize val="0"/>
        </c:dLbls>
        <c:gapWidth val="150"/>
        <c:gapDepth val="0"/>
        <c:shape val="box"/>
        <c:axId val="2106202032"/>
        <c:axId val="1"/>
        <c:axId val="0"/>
      </c:bar3DChart>
      <c:catAx>
        <c:axId val="21062020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2"/>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ru-RU"/>
                  <a:t>%%</a:t>
                </a:r>
              </a:p>
            </c:rich>
          </c:tx>
          <c:layout>
            <c:manualLayout>
              <c:xMode val="edge"/>
              <c:yMode val="edge"/>
              <c:x val="6.1643835616438353E-2"/>
              <c:y val="0.33152173913043476"/>
            </c:manualLayout>
          </c:layout>
          <c:overlay val="0"/>
          <c:spPr>
            <a:noFill/>
            <a:ln w="25399">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106202032"/>
        <c:crosses val="autoZero"/>
        <c:crossBetween val="between"/>
      </c:valAx>
      <c:spPr>
        <a:noFill/>
        <a:ln w="25399">
          <a:noFill/>
        </a:ln>
      </c:spPr>
    </c:plotArea>
    <c:legend>
      <c:legendPos val="r"/>
      <c:legendEntry>
        <c:idx val="0"/>
        <c:txPr>
          <a:bodyPr/>
          <a:lstStyle/>
          <a:p>
            <a:pPr>
              <a:defRPr sz="735" b="0" i="0" u="none" strike="noStrike" baseline="0">
                <a:solidFill>
                  <a:srgbClr val="000000"/>
                </a:solidFill>
                <a:latin typeface="Arial Cyr"/>
                <a:ea typeface="Arial Cyr"/>
                <a:cs typeface="Arial Cyr"/>
              </a:defRPr>
            </a:pPr>
            <a:endParaRPr lang="ru-RU"/>
          </a:p>
        </c:txPr>
      </c:legendEntry>
      <c:layout>
        <c:manualLayout>
          <c:xMode val="edge"/>
          <c:yMode val="edge"/>
          <c:x val="0.7226027397260274"/>
          <c:y val="7.6086956521739135E-2"/>
          <c:w val="0.2636986301369863"/>
          <c:h val="0.82608695652173914"/>
        </c:manualLayout>
      </c:layout>
      <c:overlay val="0"/>
      <c:spPr>
        <a:solidFill>
          <a:srgbClr val="FFFFFF"/>
        </a:solidFill>
        <a:ln w="25399">
          <a:noFill/>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53846153846154"/>
          <c:y val="0.33333333333333331"/>
          <c:w val="0.65846153846153843"/>
          <c:h val="0.39047619047619048"/>
        </c:manualLayout>
      </c:layout>
      <c:lineChart>
        <c:grouping val="standard"/>
        <c:varyColors val="0"/>
        <c:ser>
          <c:idx val="0"/>
          <c:order val="0"/>
          <c:tx>
            <c:strRef>
              <c:f>Лист3!$J$2</c:f>
              <c:strCache>
                <c:ptCount val="1"/>
                <c:pt idx="0">
                  <c:v>1</c:v>
                </c:pt>
              </c:strCache>
            </c:strRef>
          </c:tx>
          <c:spPr>
            <a:ln w="12706">
              <a:solidFill>
                <a:srgbClr val="000000"/>
              </a:solidFill>
              <a:prstDash val="solid"/>
            </a:ln>
          </c:spPr>
          <c:marker>
            <c:symbol val="none"/>
          </c:marker>
          <c:cat>
            <c:strRef>
              <c:f>Лист3!$K$1:$N$1</c:f>
              <c:strCache>
                <c:ptCount val="4"/>
                <c:pt idx="0">
                  <c:v>I</c:v>
                </c:pt>
                <c:pt idx="1">
                  <c:v>II</c:v>
                </c:pt>
                <c:pt idx="2">
                  <c:v>III</c:v>
                </c:pt>
                <c:pt idx="3">
                  <c:v>IV</c:v>
                </c:pt>
              </c:strCache>
            </c:strRef>
          </c:cat>
          <c:val>
            <c:numRef>
              <c:f>Лист3!$K$2:$N$2</c:f>
              <c:numCache>
                <c:formatCode>General</c:formatCode>
                <c:ptCount val="4"/>
                <c:pt idx="0">
                  <c:v>0</c:v>
                </c:pt>
                <c:pt idx="1">
                  <c:v>4</c:v>
                </c:pt>
                <c:pt idx="2">
                  <c:v>8</c:v>
                </c:pt>
                <c:pt idx="3">
                  <c:v>17</c:v>
                </c:pt>
              </c:numCache>
            </c:numRef>
          </c:val>
          <c:smooth val="1"/>
          <c:extLst>
            <c:ext xmlns:c16="http://schemas.microsoft.com/office/drawing/2014/chart" uri="{C3380CC4-5D6E-409C-BE32-E72D297353CC}">
              <c16:uniqueId val="{00000000-7F65-4C37-95F2-03A2F0A03F57}"/>
            </c:ext>
          </c:extLst>
        </c:ser>
        <c:ser>
          <c:idx val="1"/>
          <c:order val="1"/>
          <c:tx>
            <c:strRef>
              <c:f>Лист3!$J$3</c:f>
              <c:strCache>
                <c:ptCount val="1"/>
                <c:pt idx="0">
                  <c:v>2</c:v>
                </c:pt>
              </c:strCache>
            </c:strRef>
          </c:tx>
          <c:spPr>
            <a:ln w="12706">
              <a:solidFill>
                <a:srgbClr val="000000"/>
              </a:solidFill>
              <a:prstDash val="sysDash"/>
            </a:ln>
          </c:spPr>
          <c:marker>
            <c:symbol val="none"/>
          </c:marker>
          <c:cat>
            <c:strRef>
              <c:f>Лист3!$K$1:$N$1</c:f>
              <c:strCache>
                <c:ptCount val="4"/>
                <c:pt idx="0">
                  <c:v>I</c:v>
                </c:pt>
                <c:pt idx="1">
                  <c:v>II</c:v>
                </c:pt>
                <c:pt idx="2">
                  <c:v>III</c:v>
                </c:pt>
                <c:pt idx="3">
                  <c:v>IV</c:v>
                </c:pt>
              </c:strCache>
            </c:strRef>
          </c:cat>
          <c:val>
            <c:numRef>
              <c:f>Лист3!$K$3:$N$3</c:f>
              <c:numCache>
                <c:formatCode>General</c:formatCode>
                <c:ptCount val="4"/>
                <c:pt idx="0">
                  <c:v>0.1</c:v>
                </c:pt>
                <c:pt idx="1">
                  <c:v>3.5</c:v>
                </c:pt>
                <c:pt idx="2">
                  <c:v>7.5</c:v>
                </c:pt>
                <c:pt idx="3">
                  <c:v>5.5</c:v>
                </c:pt>
              </c:numCache>
            </c:numRef>
          </c:val>
          <c:smooth val="1"/>
          <c:extLst>
            <c:ext xmlns:c16="http://schemas.microsoft.com/office/drawing/2014/chart" uri="{C3380CC4-5D6E-409C-BE32-E72D297353CC}">
              <c16:uniqueId val="{00000001-7F65-4C37-95F2-03A2F0A03F57}"/>
            </c:ext>
          </c:extLst>
        </c:ser>
        <c:dLbls>
          <c:showLegendKey val="0"/>
          <c:showVal val="0"/>
          <c:showCatName val="0"/>
          <c:showSerName val="0"/>
          <c:showPercent val="0"/>
          <c:showBubbleSize val="0"/>
        </c:dLbls>
        <c:smooth val="0"/>
        <c:axId val="2107980160"/>
        <c:axId val="1"/>
      </c:lineChart>
      <c:catAx>
        <c:axId val="2107980160"/>
        <c:scaling>
          <c:orientation val="minMax"/>
        </c:scaling>
        <c:delete val="0"/>
        <c:axPos val="b"/>
        <c:title>
          <c:tx>
            <c:rich>
              <a:bodyPr/>
              <a:lstStyle/>
              <a:p>
                <a:pPr>
                  <a:defRPr sz="800" b="1" i="0" u="none" strike="noStrike" baseline="0">
                    <a:solidFill>
                      <a:srgbClr val="000000"/>
                    </a:solidFill>
                    <a:latin typeface="Arial Cyr"/>
                    <a:ea typeface="Arial Cyr"/>
                    <a:cs typeface="Arial Cyr"/>
                  </a:defRPr>
                </a:pPr>
                <a:r>
                  <a:rPr lang="ru-RU"/>
                  <a:t>Условные периоды</a:t>
                </a:r>
              </a:p>
            </c:rich>
          </c:tx>
          <c:layout>
            <c:manualLayout>
              <c:xMode val="edge"/>
              <c:yMode val="edge"/>
              <c:x val="0.25230769230769229"/>
              <c:y val="0.84761904761904761"/>
            </c:manualLayout>
          </c:layout>
          <c:overlay val="0"/>
          <c:spPr>
            <a:noFill/>
            <a:ln w="25411">
              <a:noFill/>
            </a:ln>
          </c:spPr>
        </c:title>
        <c:numFmt formatCode="General" sourceLinked="1"/>
        <c:majorTickMark val="cross"/>
        <c:minorTickMark val="none"/>
        <c:tickLblPos val="nextTo"/>
        <c:spPr>
          <a:ln w="3176">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numFmt formatCode="General" sourceLinked="1"/>
        <c:majorTickMark val="cross"/>
        <c:minorTickMark val="none"/>
        <c:tickLblPos val="nextTo"/>
        <c:spPr>
          <a:ln w="3176">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107980160"/>
        <c:crosses val="autoZero"/>
        <c:crossBetween val="midCat"/>
      </c:valAx>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C0C0C0" mc:Ignorable="a14" a14:legacySpreadsheetColorIndex="22"/>
          </a:bgClr>
        </a:pattFill>
        <a:ln w="3176">
          <a:solidFill>
            <a:srgbClr val="000000"/>
          </a:solidFill>
          <a:prstDash val="solid"/>
        </a:ln>
      </c:spPr>
    </c:plotArea>
    <c:legend>
      <c:legendPos val="r"/>
      <c:legendEntry>
        <c:idx val="1"/>
        <c:txPr>
          <a:bodyPr/>
          <a:lstStyle/>
          <a:p>
            <a:pPr>
              <a:defRPr sz="735" b="0" i="0" u="none" strike="noStrike" baseline="0">
                <a:solidFill>
                  <a:srgbClr val="000000"/>
                </a:solidFill>
                <a:latin typeface="Arial Cyr"/>
                <a:ea typeface="Arial Cyr"/>
                <a:cs typeface="Arial Cyr"/>
              </a:defRPr>
            </a:pPr>
            <a:endParaRPr lang="ru-RU"/>
          </a:p>
        </c:txPr>
      </c:legendEntry>
      <c:layout>
        <c:manualLayout>
          <c:xMode val="edge"/>
          <c:yMode val="edge"/>
          <c:x val="0.81230769230769229"/>
          <c:y val="0.72380952380952379"/>
          <c:w val="0.17538461538461539"/>
          <c:h val="0.18571428571428572"/>
        </c:manualLayout>
      </c:layout>
      <c:overlay val="0"/>
      <c:spPr>
        <a:solidFill>
          <a:srgbClr val="FFFFFF"/>
        </a:solidFill>
        <a:ln w="25411">
          <a:noFill/>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6">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hPercent val="75"/>
      <c:rotY val="10"/>
      <c:depthPercent val="200"/>
      <c:rAngAx val="1"/>
    </c:view3D>
    <c:floor>
      <c:thickness val="0"/>
      <c:spPr>
        <a:solidFill>
          <a:srgbClr val="FFFFFF"/>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1602209944751381"/>
          <c:y val="8.5106382978723402E-2"/>
          <c:w val="0.63259668508287292"/>
          <c:h val="0.70638297872340428"/>
        </c:manualLayout>
      </c:layout>
      <c:bar3DChart>
        <c:barDir val="col"/>
        <c:grouping val="stacked"/>
        <c:varyColors val="0"/>
        <c:ser>
          <c:idx val="0"/>
          <c:order val="0"/>
          <c:tx>
            <c:strRef>
              <c:f>Sheet6!$H$5</c:f>
              <c:strCache>
                <c:ptCount val="1"/>
                <c:pt idx="0">
                  <c:v>Самарканд </c:v>
                </c:pt>
              </c:strCache>
            </c:strRef>
          </c:tx>
          <c:spPr>
            <a:solidFill>
              <a:srgbClr val="969696"/>
            </a:solidFill>
            <a:ln w="12694">
              <a:solidFill>
                <a:srgbClr val="000000"/>
              </a:solidFill>
              <a:prstDash val="solid"/>
            </a:ln>
          </c:spPr>
          <c:invertIfNegative val="0"/>
          <c:cat>
            <c:strRef>
              <c:f>Sheet6!$I$4:$M$4</c:f>
              <c:strCache>
                <c:ptCount val="5"/>
                <c:pt idx="0">
                  <c:v>891-900</c:v>
                </c:pt>
                <c:pt idx="1">
                  <c:v>901-910</c:v>
                </c:pt>
                <c:pt idx="2">
                  <c:v>911-920</c:v>
                </c:pt>
                <c:pt idx="3">
                  <c:v>921-930</c:v>
                </c:pt>
                <c:pt idx="4">
                  <c:v>931-940</c:v>
                </c:pt>
              </c:strCache>
            </c:strRef>
          </c:cat>
          <c:val>
            <c:numRef>
              <c:f>Sheet6!$I$5:$M$5</c:f>
              <c:numCache>
                <c:formatCode>General</c:formatCode>
                <c:ptCount val="5"/>
                <c:pt idx="3">
                  <c:v>24.39</c:v>
                </c:pt>
                <c:pt idx="4">
                  <c:v>12.2</c:v>
                </c:pt>
              </c:numCache>
            </c:numRef>
          </c:val>
          <c:extLst>
            <c:ext xmlns:c16="http://schemas.microsoft.com/office/drawing/2014/chart" uri="{C3380CC4-5D6E-409C-BE32-E72D297353CC}">
              <c16:uniqueId val="{00000000-DD33-4EAF-A4E9-5DF819CE9D39}"/>
            </c:ext>
          </c:extLst>
        </c:ser>
        <c:ser>
          <c:idx val="1"/>
          <c:order val="1"/>
          <c:tx>
            <c:strRef>
              <c:f>Sheet6!$H$6</c:f>
              <c:strCache>
                <c:ptCount val="1"/>
                <c:pt idx="0">
                  <c:v>Шаш</c:v>
                </c:pt>
              </c:strCache>
            </c:strRef>
          </c:tx>
          <c:spPr>
            <a:solidFill>
              <a:srgbClr val="000000"/>
            </a:solidFill>
            <a:ln w="12694">
              <a:solidFill>
                <a:srgbClr val="000000"/>
              </a:solidFill>
              <a:prstDash val="solid"/>
            </a:ln>
          </c:spPr>
          <c:invertIfNegative val="0"/>
          <c:cat>
            <c:strRef>
              <c:f>Sheet6!$I$4:$M$4</c:f>
              <c:strCache>
                <c:ptCount val="5"/>
                <c:pt idx="0">
                  <c:v>891-900</c:v>
                </c:pt>
                <c:pt idx="1">
                  <c:v>901-910</c:v>
                </c:pt>
                <c:pt idx="2">
                  <c:v>911-920</c:v>
                </c:pt>
                <c:pt idx="3">
                  <c:v>921-930</c:v>
                </c:pt>
                <c:pt idx="4">
                  <c:v>931-940</c:v>
                </c:pt>
              </c:strCache>
            </c:strRef>
          </c:cat>
          <c:val>
            <c:numRef>
              <c:f>Sheet6!$I$6:$M$6</c:f>
              <c:numCache>
                <c:formatCode>General</c:formatCode>
                <c:ptCount val="5"/>
                <c:pt idx="0">
                  <c:v>4.88</c:v>
                </c:pt>
                <c:pt idx="3">
                  <c:v>17.079999999999998</c:v>
                </c:pt>
                <c:pt idx="4">
                  <c:v>7.32</c:v>
                </c:pt>
              </c:numCache>
            </c:numRef>
          </c:val>
          <c:extLst>
            <c:ext xmlns:c16="http://schemas.microsoft.com/office/drawing/2014/chart" uri="{C3380CC4-5D6E-409C-BE32-E72D297353CC}">
              <c16:uniqueId val="{00000001-DD33-4EAF-A4E9-5DF819CE9D39}"/>
            </c:ext>
          </c:extLst>
        </c:ser>
        <c:ser>
          <c:idx val="2"/>
          <c:order val="2"/>
          <c:tx>
            <c:strRef>
              <c:f>Sheet6!$H$7</c:f>
              <c:strCache>
                <c:ptCount val="1"/>
                <c:pt idx="0">
                  <c:v>Нисабур</c:v>
                </c:pt>
              </c:strCache>
            </c:strRef>
          </c:tx>
          <c:spPr>
            <a:solidFill>
              <a:srgbClr val="FFFFC0"/>
            </a:solidFill>
            <a:ln w="12694">
              <a:solidFill>
                <a:srgbClr val="000000"/>
              </a:solidFill>
              <a:prstDash val="solid"/>
            </a:ln>
          </c:spPr>
          <c:invertIfNegative val="0"/>
          <c:cat>
            <c:strRef>
              <c:f>Sheet6!$I$4:$M$4</c:f>
              <c:strCache>
                <c:ptCount val="5"/>
                <c:pt idx="0">
                  <c:v>891-900</c:v>
                </c:pt>
                <c:pt idx="1">
                  <c:v>901-910</c:v>
                </c:pt>
                <c:pt idx="2">
                  <c:v>911-920</c:v>
                </c:pt>
                <c:pt idx="3">
                  <c:v>921-930</c:v>
                </c:pt>
                <c:pt idx="4">
                  <c:v>931-940</c:v>
                </c:pt>
              </c:strCache>
            </c:strRef>
          </c:cat>
          <c:val>
            <c:numRef>
              <c:f>Sheet6!$I$7:$M$7</c:f>
              <c:numCache>
                <c:formatCode>General</c:formatCode>
                <c:ptCount val="5"/>
                <c:pt idx="1">
                  <c:v>4.88</c:v>
                </c:pt>
                <c:pt idx="4">
                  <c:v>2.44</c:v>
                </c:pt>
              </c:numCache>
            </c:numRef>
          </c:val>
          <c:extLst>
            <c:ext xmlns:c16="http://schemas.microsoft.com/office/drawing/2014/chart" uri="{C3380CC4-5D6E-409C-BE32-E72D297353CC}">
              <c16:uniqueId val="{00000002-DD33-4EAF-A4E9-5DF819CE9D39}"/>
            </c:ext>
          </c:extLst>
        </c:ser>
        <c:ser>
          <c:idx val="3"/>
          <c:order val="3"/>
          <c:tx>
            <c:strRef>
              <c:f>Sheet6!$H$8</c:f>
              <c:strCache>
                <c:ptCount val="1"/>
                <c:pt idx="0">
                  <c:v>Балх</c:v>
                </c:pt>
              </c:strCache>
            </c:strRef>
          </c:tx>
          <c:spPr>
            <a:solidFill>
              <a:srgbClr val="A0E0E0"/>
            </a:solidFill>
            <a:ln w="12694">
              <a:solidFill>
                <a:srgbClr val="000000"/>
              </a:solidFill>
              <a:prstDash val="solid"/>
            </a:ln>
          </c:spPr>
          <c:invertIfNegative val="0"/>
          <c:cat>
            <c:strRef>
              <c:f>Sheet6!$I$4:$M$4</c:f>
              <c:strCache>
                <c:ptCount val="5"/>
                <c:pt idx="0">
                  <c:v>891-900</c:v>
                </c:pt>
                <c:pt idx="1">
                  <c:v>901-910</c:v>
                </c:pt>
                <c:pt idx="2">
                  <c:v>911-920</c:v>
                </c:pt>
                <c:pt idx="3">
                  <c:v>921-930</c:v>
                </c:pt>
                <c:pt idx="4">
                  <c:v>931-940</c:v>
                </c:pt>
              </c:strCache>
            </c:strRef>
          </c:cat>
          <c:val>
            <c:numRef>
              <c:f>Sheet6!$I$8:$M$8</c:f>
              <c:numCache>
                <c:formatCode>General</c:formatCode>
                <c:ptCount val="5"/>
                <c:pt idx="3">
                  <c:v>2.44</c:v>
                </c:pt>
              </c:numCache>
            </c:numRef>
          </c:val>
          <c:extLst>
            <c:ext xmlns:c16="http://schemas.microsoft.com/office/drawing/2014/chart" uri="{C3380CC4-5D6E-409C-BE32-E72D297353CC}">
              <c16:uniqueId val="{00000003-DD33-4EAF-A4E9-5DF819CE9D39}"/>
            </c:ext>
          </c:extLst>
        </c:ser>
        <c:ser>
          <c:idx val="4"/>
          <c:order val="4"/>
          <c:tx>
            <c:strRef>
              <c:f>Sheet6!$H$9</c:f>
              <c:strCache>
                <c:ptCount val="1"/>
                <c:pt idx="0">
                  <c:v>Андераб</c:v>
                </c:pt>
              </c:strCache>
            </c:strRef>
          </c:tx>
          <c:spPr>
            <a:solidFill>
              <a:srgbClr val="C0C0C0"/>
            </a:solidFill>
            <a:ln w="12694">
              <a:solidFill>
                <a:srgbClr val="000000"/>
              </a:solidFill>
              <a:prstDash val="solid"/>
            </a:ln>
          </c:spPr>
          <c:invertIfNegative val="0"/>
          <c:cat>
            <c:strRef>
              <c:f>Sheet6!$I$4:$M$4</c:f>
              <c:strCache>
                <c:ptCount val="5"/>
                <c:pt idx="0">
                  <c:v>891-900</c:v>
                </c:pt>
                <c:pt idx="1">
                  <c:v>901-910</c:v>
                </c:pt>
                <c:pt idx="2">
                  <c:v>911-920</c:v>
                </c:pt>
                <c:pt idx="3">
                  <c:v>921-930</c:v>
                </c:pt>
                <c:pt idx="4">
                  <c:v>931-940</c:v>
                </c:pt>
              </c:strCache>
            </c:strRef>
          </c:cat>
          <c:val>
            <c:numRef>
              <c:f>Sheet6!$I$9:$M$9</c:f>
              <c:numCache>
                <c:formatCode>General</c:formatCode>
                <c:ptCount val="5"/>
                <c:pt idx="2">
                  <c:v>4.88</c:v>
                </c:pt>
              </c:numCache>
            </c:numRef>
          </c:val>
          <c:extLst>
            <c:ext xmlns:c16="http://schemas.microsoft.com/office/drawing/2014/chart" uri="{C3380CC4-5D6E-409C-BE32-E72D297353CC}">
              <c16:uniqueId val="{00000004-DD33-4EAF-A4E9-5DF819CE9D39}"/>
            </c:ext>
          </c:extLst>
        </c:ser>
        <c:ser>
          <c:idx val="5"/>
          <c:order val="5"/>
          <c:tx>
            <c:strRef>
              <c:f>Sheet6!$H$10</c:f>
              <c:strCache>
                <c:ptCount val="1"/>
                <c:pt idx="0">
                  <c:v>гор ?</c:v>
                </c:pt>
              </c:strCache>
            </c:strRef>
          </c:tx>
          <c:spPr>
            <a:solidFill>
              <a:srgbClr val="FF8080"/>
            </a:solidFill>
            <a:ln w="12694">
              <a:solidFill>
                <a:srgbClr val="000000"/>
              </a:solidFill>
              <a:prstDash val="solid"/>
            </a:ln>
          </c:spPr>
          <c:invertIfNegative val="0"/>
          <c:dPt>
            <c:idx val="2"/>
            <c:invertIfNegative val="0"/>
            <c:bubble3D val="0"/>
            <c:extLst>
              <c:ext xmlns:c16="http://schemas.microsoft.com/office/drawing/2014/chart" uri="{C3380CC4-5D6E-409C-BE32-E72D297353CC}">
                <c16:uniqueId val="{00000005-DD33-4EAF-A4E9-5DF819CE9D39}"/>
              </c:ext>
            </c:extLst>
          </c:dPt>
          <c:dPt>
            <c:idx val="3"/>
            <c:invertIfNegative val="0"/>
            <c:bubble3D val="0"/>
            <c:spPr>
              <a:solidFill>
                <a:srgbClr val="FFFFFF"/>
              </a:solidFill>
              <a:ln w="12694">
                <a:solidFill>
                  <a:srgbClr val="000000"/>
                </a:solidFill>
                <a:prstDash val="solid"/>
              </a:ln>
            </c:spPr>
            <c:extLst>
              <c:ext xmlns:c16="http://schemas.microsoft.com/office/drawing/2014/chart" uri="{C3380CC4-5D6E-409C-BE32-E72D297353CC}">
                <c16:uniqueId val="{00000007-DD33-4EAF-A4E9-5DF819CE9D39}"/>
              </c:ext>
            </c:extLst>
          </c:dPt>
          <c:dPt>
            <c:idx val="4"/>
            <c:invertIfNegative val="0"/>
            <c:bubble3D val="0"/>
            <c:spPr>
              <a:solidFill>
                <a:srgbClr val="FFFFFF"/>
              </a:solidFill>
              <a:ln w="12694">
                <a:solidFill>
                  <a:srgbClr val="000000"/>
                </a:solidFill>
                <a:prstDash val="solid"/>
              </a:ln>
            </c:spPr>
            <c:extLst>
              <c:ext xmlns:c16="http://schemas.microsoft.com/office/drawing/2014/chart" uri="{C3380CC4-5D6E-409C-BE32-E72D297353CC}">
                <c16:uniqueId val="{00000006-DD33-4EAF-A4E9-5DF819CE9D39}"/>
              </c:ext>
            </c:extLst>
          </c:dPt>
          <c:cat>
            <c:strRef>
              <c:f>Sheet6!$I$4:$M$4</c:f>
              <c:strCache>
                <c:ptCount val="5"/>
                <c:pt idx="0">
                  <c:v>891-900</c:v>
                </c:pt>
                <c:pt idx="1">
                  <c:v>901-910</c:v>
                </c:pt>
                <c:pt idx="2">
                  <c:v>911-920</c:v>
                </c:pt>
                <c:pt idx="3">
                  <c:v>921-930</c:v>
                </c:pt>
                <c:pt idx="4">
                  <c:v>931-940</c:v>
                </c:pt>
              </c:strCache>
            </c:strRef>
          </c:cat>
          <c:val>
            <c:numRef>
              <c:f>Sheet6!$I$10:$M$10</c:f>
              <c:numCache>
                <c:formatCode>General</c:formatCode>
                <c:ptCount val="5"/>
                <c:pt idx="2">
                  <c:v>2.44</c:v>
                </c:pt>
                <c:pt idx="3">
                  <c:v>9.76</c:v>
                </c:pt>
                <c:pt idx="4">
                  <c:v>7.32</c:v>
                </c:pt>
              </c:numCache>
            </c:numRef>
          </c:val>
          <c:extLst>
            <c:ext xmlns:c16="http://schemas.microsoft.com/office/drawing/2014/chart" uri="{C3380CC4-5D6E-409C-BE32-E72D297353CC}">
              <c16:uniqueId val="{00000008-DD33-4EAF-A4E9-5DF819CE9D39}"/>
            </c:ext>
          </c:extLst>
        </c:ser>
        <c:dLbls>
          <c:showLegendKey val="0"/>
          <c:showVal val="0"/>
          <c:showCatName val="0"/>
          <c:showSerName val="0"/>
          <c:showPercent val="0"/>
          <c:showBubbleSize val="0"/>
        </c:dLbls>
        <c:gapWidth val="150"/>
        <c:gapDepth val="0"/>
        <c:shape val="box"/>
        <c:axId val="2107987360"/>
        <c:axId val="1"/>
        <c:axId val="0"/>
      </c:bar3DChart>
      <c:catAx>
        <c:axId val="2107987360"/>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majorGridlines>
          <c:spPr>
            <a:ln w="3173">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ru-RU"/>
                  <a:t>%%</a:t>
                </a:r>
              </a:p>
            </c:rich>
          </c:tx>
          <c:layout>
            <c:manualLayout>
              <c:xMode val="edge"/>
              <c:yMode val="edge"/>
              <c:x val="2.4861878453038673E-2"/>
              <c:y val="0.41702127659574467"/>
            </c:manualLayout>
          </c:layout>
          <c:overlay val="0"/>
          <c:spPr>
            <a:noFill/>
            <a:ln w="25387">
              <a:noFill/>
            </a:ln>
          </c:spPr>
        </c:title>
        <c:numFmt formatCode="General" sourceLinked="1"/>
        <c:majorTickMark val="out"/>
        <c:minorTickMark val="none"/>
        <c:tickLblPos val="nextTo"/>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107987360"/>
        <c:crosses val="autoZero"/>
        <c:crossBetween val="between"/>
      </c:valAx>
      <c:spPr>
        <a:noFill/>
        <a:ln w="25387">
          <a:noFill/>
        </a:ln>
      </c:spPr>
    </c:plotArea>
    <c:legend>
      <c:legendPos val="r"/>
      <c:layout>
        <c:manualLayout>
          <c:xMode val="edge"/>
          <c:yMode val="edge"/>
          <c:x val="0.77900552486187846"/>
          <c:y val="0.18723404255319148"/>
          <c:w val="0.212707182320442"/>
          <c:h val="0.65531914893617016"/>
        </c:manualLayout>
      </c:layout>
      <c:overlay val="0"/>
      <c:spPr>
        <a:solidFill>
          <a:srgbClr val="FFFFFF"/>
        </a:solidFill>
        <a:ln w="3173">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3">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70"/>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32608695652173914"/>
          <c:y val="4.1237113402061855E-2"/>
          <c:w val="0.47826086956521741"/>
          <c:h val="0.5"/>
        </c:manualLayout>
      </c:layout>
      <c:bar3DChart>
        <c:barDir val="col"/>
        <c:grouping val="stacked"/>
        <c:varyColors val="0"/>
        <c:ser>
          <c:idx val="0"/>
          <c:order val="0"/>
          <c:tx>
            <c:strRef>
              <c:f>Sheet1!$A$38</c:f>
              <c:strCache>
                <c:ptCount val="1"/>
                <c:pt idx="0">
                  <c:v>Аббасиды</c:v>
                </c:pt>
              </c:strCache>
            </c:strRef>
          </c:tx>
          <c:spPr>
            <a:solidFill>
              <a:srgbClr val="8080FF"/>
            </a:solidFill>
            <a:ln w="12685">
              <a:solidFill>
                <a:srgbClr val="000000"/>
              </a:solidFill>
              <a:prstDash val="solid"/>
            </a:ln>
          </c:spPr>
          <c:invertIfNegative val="0"/>
          <c:cat>
            <c:strRef>
              <c:f>Sheet1!$B$37:$F$37</c:f>
              <c:strCache>
                <c:ptCount val="5"/>
                <c:pt idx="0">
                  <c:v>884/896-887</c:v>
                </c:pt>
                <c:pt idx="1">
                  <c:v>894/906-897</c:v>
                </c:pt>
                <c:pt idx="2">
                  <c:v>304916-907</c:v>
                </c:pt>
                <c:pt idx="3">
                  <c:v>314/926-917</c:v>
                </c:pt>
                <c:pt idx="4">
                  <c:v>324/936-927</c:v>
                </c:pt>
              </c:strCache>
            </c:strRef>
          </c:cat>
          <c:val>
            <c:numRef>
              <c:f>Sheet1!$B$38:$F$38</c:f>
              <c:numCache>
                <c:formatCode>General</c:formatCode>
                <c:ptCount val="5"/>
                <c:pt idx="1">
                  <c:v>14.28</c:v>
                </c:pt>
                <c:pt idx="2">
                  <c:v>4.76</c:v>
                </c:pt>
                <c:pt idx="3">
                  <c:v>9.52</c:v>
                </c:pt>
                <c:pt idx="4">
                  <c:v>42.85</c:v>
                </c:pt>
              </c:numCache>
            </c:numRef>
          </c:val>
          <c:extLst>
            <c:ext xmlns:c16="http://schemas.microsoft.com/office/drawing/2014/chart" uri="{C3380CC4-5D6E-409C-BE32-E72D297353CC}">
              <c16:uniqueId val="{00000000-70FA-4A67-8F69-CA30EA385D27}"/>
            </c:ext>
          </c:extLst>
        </c:ser>
        <c:ser>
          <c:idx val="1"/>
          <c:order val="1"/>
          <c:tx>
            <c:strRef>
              <c:f>Sheet1!$A$39</c:f>
              <c:strCache>
                <c:ptCount val="1"/>
                <c:pt idx="0">
                  <c:v>Монетный двор ?</c:v>
                </c:pt>
              </c:strCache>
            </c:strRef>
          </c:tx>
          <c:spPr>
            <a:solidFill>
              <a:srgbClr val="802060"/>
            </a:solidFill>
            <a:ln w="12685">
              <a:solidFill>
                <a:srgbClr val="000000"/>
              </a:solidFill>
              <a:prstDash val="solid"/>
            </a:ln>
          </c:spPr>
          <c:invertIfNegative val="0"/>
          <c:cat>
            <c:strRef>
              <c:f>Sheet1!$B$37:$F$37</c:f>
              <c:strCache>
                <c:ptCount val="5"/>
                <c:pt idx="0">
                  <c:v>884/896-887</c:v>
                </c:pt>
                <c:pt idx="1">
                  <c:v>894/906-897</c:v>
                </c:pt>
                <c:pt idx="2">
                  <c:v>304916-907</c:v>
                </c:pt>
                <c:pt idx="3">
                  <c:v>314/926-917</c:v>
                </c:pt>
                <c:pt idx="4">
                  <c:v>324/936-927</c:v>
                </c:pt>
              </c:strCache>
            </c:strRef>
          </c:cat>
          <c:val>
            <c:numRef>
              <c:f>Sheet1!$B$39:$F$39</c:f>
              <c:numCache>
                <c:formatCode>General</c:formatCode>
                <c:ptCount val="5"/>
                <c:pt idx="0">
                  <c:v>4.76</c:v>
                </c:pt>
                <c:pt idx="2">
                  <c:v>4.76</c:v>
                </c:pt>
                <c:pt idx="3">
                  <c:v>4.76</c:v>
                </c:pt>
                <c:pt idx="4">
                  <c:v>4.76</c:v>
                </c:pt>
              </c:numCache>
            </c:numRef>
          </c:val>
          <c:extLst>
            <c:ext xmlns:c16="http://schemas.microsoft.com/office/drawing/2014/chart" uri="{C3380CC4-5D6E-409C-BE32-E72D297353CC}">
              <c16:uniqueId val="{00000001-70FA-4A67-8F69-CA30EA385D27}"/>
            </c:ext>
          </c:extLst>
        </c:ser>
        <c:ser>
          <c:idx val="2"/>
          <c:order val="2"/>
          <c:tx>
            <c:strRef>
              <c:f>Sheet1!$A$40</c:f>
              <c:strCache>
                <c:ptCount val="1"/>
                <c:pt idx="0">
                  <c:v>Саджиды</c:v>
                </c:pt>
              </c:strCache>
            </c:strRef>
          </c:tx>
          <c:spPr>
            <a:solidFill>
              <a:srgbClr val="FFFFC0"/>
            </a:solidFill>
            <a:ln w="12685">
              <a:solidFill>
                <a:srgbClr val="000000"/>
              </a:solidFill>
              <a:prstDash val="solid"/>
            </a:ln>
          </c:spPr>
          <c:invertIfNegative val="0"/>
          <c:cat>
            <c:strRef>
              <c:f>Sheet1!$B$37:$F$37</c:f>
              <c:strCache>
                <c:ptCount val="5"/>
                <c:pt idx="0">
                  <c:v>884/896-887</c:v>
                </c:pt>
                <c:pt idx="1">
                  <c:v>894/906-897</c:v>
                </c:pt>
                <c:pt idx="2">
                  <c:v>304916-907</c:v>
                </c:pt>
                <c:pt idx="3">
                  <c:v>314/926-917</c:v>
                </c:pt>
                <c:pt idx="4">
                  <c:v>324/936-927</c:v>
                </c:pt>
              </c:strCache>
            </c:strRef>
          </c:cat>
          <c:val>
            <c:numRef>
              <c:f>Sheet1!$B$40:$F$40</c:f>
              <c:numCache>
                <c:formatCode>General</c:formatCode>
                <c:ptCount val="5"/>
                <c:pt idx="4">
                  <c:v>9.52</c:v>
                </c:pt>
              </c:numCache>
            </c:numRef>
          </c:val>
          <c:extLst>
            <c:ext xmlns:c16="http://schemas.microsoft.com/office/drawing/2014/chart" uri="{C3380CC4-5D6E-409C-BE32-E72D297353CC}">
              <c16:uniqueId val="{00000002-70FA-4A67-8F69-CA30EA385D27}"/>
            </c:ext>
          </c:extLst>
        </c:ser>
        <c:dLbls>
          <c:showLegendKey val="0"/>
          <c:showVal val="0"/>
          <c:showCatName val="0"/>
          <c:showSerName val="0"/>
          <c:showPercent val="0"/>
          <c:showBubbleSize val="0"/>
        </c:dLbls>
        <c:gapWidth val="150"/>
        <c:shape val="box"/>
        <c:axId val="2032653760"/>
        <c:axId val="1"/>
        <c:axId val="0"/>
      </c:bar3DChart>
      <c:catAx>
        <c:axId val="2032653760"/>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
        <c:crosses val="autoZero"/>
        <c:auto val="1"/>
        <c:lblAlgn val="ctr"/>
        <c:lblOffset val="100"/>
        <c:tickLblSkip val="2"/>
        <c:tickMarkSkip val="1"/>
        <c:noMultiLvlLbl val="0"/>
      </c:catAx>
      <c:valAx>
        <c:axId val="1"/>
        <c:scaling>
          <c:orientation val="minMax"/>
        </c:scaling>
        <c:delete val="0"/>
        <c:axPos val="l"/>
        <c:majorGridlines>
          <c:spPr>
            <a:ln w="3171">
              <a:solidFill>
                <a:srgbClr val="000000"/>
              </a:solidFill>
              <a:prstDash val="solid"/>
            </a:ln>
          </c:spPr>
        </c:majorGridlines>
        <c:title>
          <c:tx>
            <c:rich>
              <a:bodyPr rot="0" vert="horz"/>
              <a:lstStyle/>
              <a:p>
                <a:pPr algn="ctr">
                  <a:defRPr sz="799" b="1" i="0" u="none" strike="noStrike" baseline="0">
                    <a:solidFill>
                      <a:srgbClr val="000000"/>
                    </a:solidFill>
                    <a:latin typeface="Arial Cyr"/>
                    <a:ea typeface="Arial Cyr"/>
                    <a:cs typeface="Arial Cyr"/>
                  </a:defRPr>
                </a:pPr>
                <a:r>
                  <a:rPr lang="ru-RU"/>
                  <a:t>%%</a:t>
                </a:r>
              </a:p>
            </c:rich>
          </c:tx>
          <c:layout>
            <c:manualLayout>
              <c:xMode val="edge"/>
              <c:yMode val="edge"/>
              <c:x val="0.26358695652173914"/>
              <c:y val="0.25773195876288657"/>
            </c:manualLayout>
          </c:layout>
          <c:overlay val="0"/>
          <c:spPr>
            <a:noFill/>
            <a:ln w="25369">
              <a:noFill/>
            </a:ln>
          </c:spPr>
        </c:title>
        <c:numFmt formatCode="General" sourceLinked="1"/>
        <c:majorTickMark val="out"/>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2032653760"/>
        <c:crosses val="autoZero"/>
        <c:crossBetween val="between"/>
      </c:valAx>
      <c:spPr>
        <a:noFill/>
        <a:ln w="25369">
          <a:noFill/>
        </a:ln>
      </c:spPr>
    </c:plotArea>
    <c:legend>
      <c:legendPos val="b"/>
      <c:layout>
        <c:manualLayout>
          <c:xMode val="edge"/>
          <c:yMode val="edge"/>
          <c:x val="0.17391304347826086"/>
          <c:y val="0.87113402061855671"/>
          <c:w val="0.64673913043478259"/>
          <c:h val="0.1134020618556701"/>
        </c:manualLayout>
      </c:layout>
      <c:overlay val="0"/>
      <c:spPr>
        <a:solidFill>
          <a:srgbClr val="FFFFFF"/>
        </a:solidFill>
        <a:ln w="3171">
          <a:solidFill>
            <a:srgbClr val="000000"/>
          </a:solidFill>
          <a:prstDash val="solid"/>
        </a:ln>
      </c:spPr>
      <c:txPr>
        <a:bodyPr/>
        <a:lstStyle/>
        <a:p>
          <a:pPr>
            <a:defRPr sz="734"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1">
      <a:solidFill>
        <a:srgbClr val="000000"/>
      </a:solidFill>
      <a:prstDash val="solid"/>
    </a:ln>
    <a:effectLst>
      <a:outerShdw dist="35921" dir="2700000" algn="br">
        <a:srgbClr val="000000"/>
      </a:outerShdw>
    </a:effectLst>
  </c:spPr>
  <c:txPr>
    <a:bodyPr/>
    <a:lstStyle/>
    <a:p>
      <a:pPr>
        <a:defRPr sz="79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1398963730569948"/>
          <c:y val="5.1724137931034482E-2"/>
          <c:w val="0.88082901554404147"/>
          <c:h val="0.53448275862068961"/>
        </c:manualLayout>
      </c:layout>
      <c:area3DChart>
        <c:grouping val="stacked"/>
        <c:varyColors val="0"/>
        <c:ser>
          <c:idx val="0"/>
          <c:order val="0"/>
          <c:tx>
            <c:strRef>
              <c:f>Sheet1!$A$3</c:f>
              <c:strCache>
                <c:ptCount val="1"/>
                <c:pt idx="0">
                  <c:v>Андераб</c:v>
                </c:pt>
              </c:strCache>
            </c:strRef>
          </c:tx>
          <c:spPr>
            <a:solidFill>
              <a:srgbClr val="8080FF"/>
            </a:solidFill>
            <a:ln w="12699">
              <a:solidFill>
                <a:srgbClr val="000000"/>
              </a:solidFill>
              <a:prstDash val="solid"/>
            </a:ln>
          </c:spPr>
          <c:cat>
            <c:strRef>
              <c:f>Sheet1!$B$2:$C$2</c:f>
              <c:strCache>
                <c:ptCount val="2"/>
                <c:pt idx="0">
                  <c:v>900-909</c:v>
                </c:pt>
                <c:pt idx="1">
                  <c:v>910-919</c:v>
                </c:pt>
              </c:strCache>
            </c:strRef>
          </c:cat>
          <c:val>
            <c:numRef>
              <c:f>Sheet1!$B$3:$C$3</c:f>
              <c:numCache>
                <c:formatCode>General</c:formatCode>
                <c:ptCount val="2"/>
                <c:pt idx="0">
                  <c:v>9.09</c:v>
                </c:pt>
                <c:pt idx="1">
                  <c:v>18.18</c:v>
                </c:pt>
              </c:numCache>
            </c:numRef>
          </c:val>
          <c:extLst>
            <c:ext xmlns:c16="http://schemas.microsoft.com/office/drawing/2014/chart" uri="{C3380CC4-5D6E-409C-BE32-E72D297353CC}">
              <c16:uniqueId val="{00000000-3968-48C8-8475-10FE1761482B}"/>
            </c:ext>
          </c:extLst>
        </c:ser>
        <c:ser>
          <c:idx val="1"/>
          <c:order val="1"/>
          <c:tx>
            <c:strRef>
              <c:f>Sheet1!$A$4</c:f>
              <c:strCache>
                <c:ptCount val="1"/>
                <c:pt idx="0">
                  <c:v>Самарканд</c:v>
                </c:pt>
              </c:strCache>
            </c:strRef>
          </c:tx>
          <c:spPr>
            <a:solidFill>
              <a:srgbClr val="802060"/>
            </a:solidFill>
            <a:ln w="12699">
              <a:solidFill>
                <a:srgbClr val="000000"/>
              </a:solidFill>
              <a:prstDash val="solid"/>
            </a:ln>
          </c:spPr>
          <c:cat>
            <c:strRef>
              <c:f>Sheet1!$B$2:$C$2</c:f>
              <c:strCache>
                <c:ptCount val="2"/>
                <c:pt idx="0">
                  <c:v>900-909</c:v>
                </c:pt>
                <c:pt idx="1">
                  <c:v>910-919</c:v>
                </c:pt>
              </c:strCache>
            </c:strRef>
          </c:cat>
          <c:val>
            <c:numRef>
              <c:f>Sheet1!$B$4:$C$4</c:f>
              <c:numCache>
                <c:formatCode>General</c:formatCode>
                <c:ptCount val="2"/>
                <c:pt idx="1">
                  <c:v>54.45</c:v>
                </c:pt>
              </c:numCache>
            </c:numRef>
          </c:val>
          <c:extLst>
            <c:ext xmlns:c16="http://schemas.microsoft.com/office/drawing/2014/chart" uri="{C3380CC4-5D6E-409C-BE32-E72D297353CC}">
              <c16:uniqueId val="{00000001-3968-48C8-8475-10FE1761482B}"/>
            </c:ext>
          </c:extLst>
        </c:ser>
        <c:ser>
          <c:idx val="2"/>
          <c:order val="2"/>
          <c:tx>
            <c:strRef>
              <c:f>Sheet1!$A$5</c:f>
              <c:strCache>
                <c:ptCount val="1"/>
                <c:pt idx="0">
                  <c:v>Шаш</c:v>
                </c:pt>
              </c:strCache>
            </c:strRef>
          </c:tx>
          <c:spPr>
            <a:solidFill>
              <a:srgbClr val="FFFFC0"/>
            </a:solidFill>
            <a:ln w="12699">
              <a:solidFill>
                <a:srgbClr val="000000"/>
              </a:solidFill>
              <a:prstDash val="solid"/>
            </a:ln>
          </c:spPr>
          <c:cat>
            <c:strRef>
              <c:f>Sheet1!$B$2:$C$2</c:f>
              <c:strCache>
                <c:ptCount val="2"/>
                <c:pt idx="0">
                  <c:v>900-909</c:v>
                </c:pt>
                <c:pt idx="1">
                  <c:v>910-919</c:v>
                </c:pt>
              </c:strCache>
            </c:strRef>
          </c:cat>
          <c:val>
            <c:numRef>
              <c:f>Sheet1!$B$5:$C$5</c:f>
              <c:numCache>
                <c:formatCode>General</c:formatCode>
                <c:ptCount val="2"/>
                <c:pt idx="0">
                  <c:v>9.09</c:v>
                </c:pt>
                <c:pt idx="1">
                  <c:v>9.09</c:v>
                </c:pt>
              </c:numCache>
            </c:numRef>
          </c:val>
          <c:extLst>
            <c:ext xmlns:c16="http://schemas.microsoft.com/office/drawing/2014/chart" uri="{C3380CC4-5D6E-409C-BE32-E72D297353CC}">
              <c16:uniqueId val="{00000002-3968-48C8-8475-10FE1761482B}"/>
            </c:ext>
          </c:extLst>
        </c:ser>
        <c:dLbls>
          <c:showLegendKey val="0"/>
          <c:showVal val="0"/>
          <c:showCatName val="0"/>
          <c:showSerName val="0"/>
          <c:showPercent val="0"/>
          <c:showBubbleSize val="0"/>
        </c:dLbls>
        <c:axId val="2108073696"/>
        <c:axId val="1"/>
        <c:axId val="0"/>
      </c:area3DChart>
      <c:catAx>
        <c:axId val="2108073696"/>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numFmt formatCode="General" sourceLinked="1"/>
        <c:majorTickMark val="out"/>
        <c:minorTickMark val="none"/>
        <c:tickLblPos val="low"/>
        <c:spPr>
          <a:ln w="3175">
            <a:solidFill>
              <a:srgbClr val="000000"/>
            </a:solidFill>
            <a:prstDash val="solid"/>
          </a:ln>
        </c:spPr>
        <c:txPr>
          <a:bodyPr rot="0" vert="horz"/>
          <a:lstStyle/>
          <a:p>
            <a:pPr>
              <a:defRPr sz="525" b="0" i="0" u="none" strike="noStrike" baseline="0">
                <a:solidFill>
                  <a:srgbClr val="000000"/>
                </a:solidFill>
                <a:latin typeface="Arial Cyr"/>
                <a:ea typeface="Arial Cyr"/>
                <a:cs typeface="Arial Cyr"/>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25" b="0" i="0" u="none" strike="noStrike" baseline="0">
                <a:solidFill>
                  <a:srgbClr val="000000"/>
                </a:solidFill>
                <a:latin typeface="Arial Cyr"/>
                <a:ea typeface="Arial Cyr"/>
                <a:cs typeface="Arial Cyr"/>
              </a:defRPr>
            </a:pPr>
            <a:endParaRPr lang="ru-RU"/>
          </a:p>
        </c:txPr>
        <c:crossAx val="2108073696"/>
        <c:crosses val="autoZero"/>
        <c:crossBetween val="midCat"/>
        <c:majorUnit val="50"/>
        <c:minorUnit val="10"/>
      </c:valAx>
      <c:spPr>
        <a:noFill/>
        <a:ln w="25398">
          <a:noFill/>
        </a:ln>
      </c:spPr>
    </c:plotArea>
    <c:legend>
      <c:legendPos val="b"/>
      <c:layout>
        <c:manualLayout>
          <c:xMode val="edge"/>
          <c:yMode val="edge"/>
          <c:x val="0.10880829015544041"/>
          <c:y val="0.72413793103448276"/>
          <c:w val="0.84455958549222798"/>
          <c:h val="0.2413793103448276"/>
        </c:manualLayout>
      </c:layout>
      <c:overlay val="0"/>
      <c:spPr>
        <a:solidFill>
          <a:srgbClr val="FFFFFF"/>
        </a:solidFill>
        <a:ln w="25398">
          <a:noFill/>
        </a:ln>
      </c:spPr>
      <c:txPr>
        <a:bodyPr/>
        <a:lstStyle/>
        <a:p>
          <a:pPr>
            <a:defRPr sz="550" b="0" i="0" u="none" strike="noStrike" baseline="0">
              <a:solidFill>
                <a:srgbClr val="000000"/>
              </a:solidFill>
              <a:latin typeface="Arial Cyr"/>
              <a:ea typeface="Arial Cyr"/>
              <a:cs typeface="Arial Cyr"/>
            </a:defRPr>
          </a:pPr>
          <a:endParaRPr lang="ru-RU"/>
        </a:p>
      </c:txPr>
    </c:legend>
    <c:plotVisOnly val="1"/>
    <c:dispBlanksAs val="zero"/>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52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40"/>
      <c:rotY val="20"/>
      <c:depthPercent val="1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1684782608695653"/>
          <c:y val="0.11855670103092783"/>
          <c:w val="0.82880434782608692"/>
          <c:h val="0.49484536082474229"/>
        </c:manualLayout>
      </c:layout>
      <c:bar3DChart>
        <c:barDir val="col"/>
        <c:grouping val="stacked"/>
        <c:varyColors val="0"/>
        <c:ser>
          <c:idx val="0"/>
          <c:order val="0"/>
          <c:tx>
            <c:strRef>
              <c:f>Sheet3!$A$43</c:f>
              <c:strCache>
                <c:ptCount val="1"/>
                <c:pt idx="0">
                  <c:v>Аббасиды</c:v>
                </c:pt>
              </c:strCache>
            </c:strRef>
          </c:tx>
          <c:spPr>
            <a:solidFill>
              <a:srgbClr val="8080FF"/>
            </a:solidFill>
            <a:ln w="12685">
              <a:solidFill>
                <a:srgbClr val="000000"/>
              </a:solidFill>
              <a:prstDash val="solid"/>
            </a:ln>
          </c:spPr>
          <c:invertIfNegative val="0"/>
          <c:cat>
            <c:strRef>
              <c:f>Sheet3!$B$42:$K$42</c:f>
              <c:strCache>
                <c:ptCount val="10"/>
                <c:pt idx="0">
                  <c:v>191-193</c:v>
                </c:pt>
                <c:pt idx="1">
                  <c:v>253-262</c:v>
                </c:pt>
                <c:pt idx="2">
                  <c:v>263-272</c:v>
                </c:pt>
                <c:pt idx="3">
                  <c:v>273-282</c:v>
                </c:pt>
                <c:pt idx="4">
                  <c:v>283-292</c:v>
                </c:pt>
                <c:pt idx="5">
                  <c:v>293-302</c:v>
                </c:pt>
                <c:pt idx="6">
                  <c:v>303-312</c:v>
                </c:pt>
                <c:pt idx="7">
                  <c:v>313-322</c:v>
                </c:pt>
                <c:pt idx="8">
                  <c:v>323-332</c:v>
                </c:pt>
                <c:pt idx="9">
                  <c:v>333-342</c:v>
                </c:pt>
              </c:strCache>
            </c:strRef>
          </c:cat>
          <c:val>
            <c:numRef>
              <c:f>Sheet3!$B$43:$K$43</c:f>
              <c:numCache>
                <c:formatCode>General</c:formatCode>
                <c:ptCount val="10"/>
                <c:pt idx="0">
                  <c:v>11.66</c:v>
                </c:pt>
                <c:pt idx="1">
                  <c:v>3.33</c:v>
                </c:pt>
                <c:pt idx="3">
                  <c:v>3.33</c:v>
                </c:pt>
                <c:pt idx="4">
                  <c:v>6.64</c:v>
                </c:pt>
                <c:pt idx="5">
                  <c:v>6.64</c:v>
                </c:pt>
                <c:pt idx="6">
                  <c:v>6.64</c:v>
                </c:pt>
                <c:pt idx="7">
                  <c:v>14.48</c:v>
                </c:pt>
                <c:pt idx="8">
                  <c:v>11.62</c:v>
                </c:pt>
              </c:numCache>
            </c:numRef>
          </c:val>
          <c:extLst>
            <c:ext xmlns:c16="http://schemas.microsoft.com/office/drawing/2014/chart" uri="{C3380CC4-5D6E-409C-BE32-E72D297353CC}">
              <c16:uniqueId val="{00000000-45C3-4CB3-8399-8B19DEF0EE26}"/>
            </c:ext>
          </c:extLst>
        </c:ser>
        <c:ser>
          <c:idx val="1"/>
          <c:order val="1"/>
          <c:tx>
            <c:strRef>
              <c:f>Sheet3!$A$44</c:f>
              <c:strCache>
                <c:ptCount val="1"/>
                <c:pt idx="0">
                  <c:v>Малые династии</c:v>
                </c:pt>
              </c:strCache>
            </c:strRef>
          </c:tx>
          <c:spPr>
            <a:solidFill>
              <a:srgbClr val="802060"/>
            </a:solidFill>
            <a:ln w="12685">
              <a:solidFill>
                <a:srgbClr val="000000"/>
              </a:solidFill>
              <a:prstDash val="solid"/>
            </a:ln>
          </c:spPr>
          <c:invertIfNegative val="0"/>
          <c:cat>
            <c:strRef>
              <c:f>Sheet3!$B$42:$K$42</c:f>
              <c:strCache>
                <c:ptCount val="10"/>
                <c:pt idx="0">
                  <c:v>191-193</c:v>
                </c:pt>
                <c:pt idx="1">
                  <c:v>253-262</c:v>
                </c:pt>
                <c:pt idx="2">
                  <c:v>263-272</c:v>
                </c:pt>
                <c:pt idx="3">
                  <c:v>273-282</c:v>
                </c:pt>
                <c:pt idx="4">
                  <c:v>283-292</c:v>
                </c:pt>
                <c:pt idx="5">
                  <c:v>293-302</c:v>
                </c:pt>
                <c:pt idx="6">
                  <c:v>303-312</c:v>
                </c:pt>
                <c:pt idx="7">
                  <c:v>313-322</c:v>
                </c:pt>
                <c:pt idx="8">
                  <c:v>323-332</c:v>
                </c:pt>
                <c:pt idx="9">
                  <c:v>333-342</c:v>
                </c:pt>
              </c:strCache>
            </c:strRef>
          </c:cat>
          <c:val>
            <c:numRef>
              <c:f>Sheet3!$B$44:$K$44</c:f>
              <c:numCache>
                <c:formatCode>General</c:formatCode>
                <c:ptCount val="10"/>
                <c:pt idx="6">
                  <c:v>1.66</c:v>
                </c:pt>
                <c:pt idx="7">
                  <c:v>3.33</c:v>
                </c:pt>
                <c:pt idx="8">
                  <c:v>1.66</c:v>
                </c:pt>
                <c:pt idx="9">
                  <c:v>3.33</c:v>
                </c:pt>
              </c:numCache>
            </c:numRef>
          </c:val>
          <c:extLst>
            <c:ext xmlns:c16="http://schemas.microsoft.com/office/drawing/2014/chart" uri="{C3380CC4-5D6E-409C-BE32-E72D297353CC}">
              <c16:uniqueId val="{00000001-45C3-4CB3-8399-8B19DEF0EE26}"/>
            </c:ext>
          </c:extLst>
        </c:ser>
        <c:ser>
          <c:idx val="2"/>
          <c:order val="2"/>
          <c:tx>
            <c:strRef>
              <c:f>Sheet3!$A$45</c:f>
              <c:strCache>
                <c:ptCount val="1"/>
                <c:pt idx="0">
                  <c:v>Бувейхиды</c:v>
                </c:pt>
              </c:strCache>
            </c:strRef>
          </c:tx>
          <c:spPr>
            <a:solidFill>
              <a:srgbClr val="FFFFC0"/>
            </a:solidFill>
            <a:ln w="12685">
              <a:solidFill>
                <a:srgbClr val="000000"/>
              </a:solidFill>
              <a:prstDash val="solid"/>
            </a:ln>
          </c:spPr>
          <c:invertIfNegative val="0"/>
          <c:cat>
            <c:strRef>
              <c:f>Sheet3!$B$42:$K$42</c:f>
              <c:strCache>
                <c:ptCount val="10"/>
                <c:pt idx="0">
                  <c:v>191-193</c:v>
                </c:pt>
                <c:pt idx="1">
                  <c:v>253-262</c:v>
                </c:pt>
                <c:pt idx="2">
                  <c:v>263-272</c:v>
                </c:pt>
                <c:pt idx="3">
                  <c:v>273-282</c:v>
                </c:pt>
                <c:pt idx="4">
                  <c:v>283-292</c:v>
                </c:pt>
                <c:pt idx="5">
                  <c:v>293-302</c:v>
                </c:pt>
                <c:pt idx="6">
                  <c:v>303-312</c:v>
                </c:pt>
                <c:pt idx="7">
                  <c:v>313-322</c:v>
                </c:pt>
                <c:pt idx="8">
                  <c:v>323-332</c:v>
                </c:pt>
                <c:pt idx="9">
                  <c:v>333-342</c:v>
                </c:pt>
              </c:strCache>
            </c:strRef>
          </c:cat>
          <c:val>
            <c:numRef>
              <c:f>Sheet3!$B$45:$K$45</c:f>
              <c:numCache>
                <c:formatCode>General</c:formatCode>
                <c:ptCount val="10"/>
                <c:pt idx="8">
                  <c:v>6.66</c:v>
                </c:pt>
                <c:pt idx="9">
                  <c:v>14.99</c:v>
                </c:pt>
              </c:numCache>
            </c:numRef>
          </c:val>
          <c:extLst>
            <c:ext xmlns:c16="http://schemas.microsoft.com/office/drawing/2014/chart" uri="{C3380CC4-5D6E-409C-BE32-E72D297353CC}">
              <c16:uniqueId val="{00000002-45C3-4CB3-8399-8B19DEF0EE26}"/>
            </c:ext>
          </c:extLst>
        </c:ser>
        <c:ser>
          <c:idx val="3"/>
          <c:order val="3"/>
          <c:tx>
            <c:strRef>
              <c:f>Sheet3!$A$46</c:f>
              <c:strCache>
                <c:ptCount val="1"/>
                <c:pt idx="0">
                  <c:v>Саманиды</c:v>
                </c:pt>
              </c:strCache>
            </c:strRef>
          </c:tx>
          <c:spPr>
            <a:solidFill>
              <a:srgbClr val="A0E0E0"/>
            </a:solidFill>
            <a:ln w="12685">
              <a:solidFill>
                <a:srgbClr val="000000"/>
              </a:solidFill>
              <a:prstDash val="solid"/>
            </a:ln>
          </c:spPr>
          <c:invertIfNegative val="0"/>
          <c:cat>
            <c:strRef>
              <c:f>Sheet3!$B$42:$K$42</c:f>
              <c:strCache>
                <c:ptCount val="10"/>
                <c:pt idx="0">
                  <c:v>191-193</c:v>
                </c:pt>
                <c:pt idx="1">
                  <c:v>253-262</c:v>
                </c:pt>
                <c:pt idx="2">
                  <c:v>263-272</c:v>
                </c:pt>
                <c:pt idx="3">
                  <c:v>273-282</c:v>
                </c:pt>
                <c:pt idx="4">
                  <c:v>283-292</c:v>
                </c:pt>
                <c:pt idx="5">
                  <c:v>293-302</c:v>
                </c:pt>
                <c:pt idx="6">
                  <c:v>303-312</c:v>
                </c:pt>
                <c:pt idx="7">
                  <c:v>313-322</c:v>
                </c:pt>
                <c:pt idx="8">
                  <c:v>323-332</c:v>
                </c:pt>
                <c:pt idx="9">
                  <c:v>333-342</c:v>
                </c:pt>
              </c:strCache>
            </c:strRef>
          </c:cat>
          <c:val>
            <c:numRef>
              <c:f>Sheet3!$B$46:$K$46</c:f>
              <c:numCache>
                <c:formatCode>General</c:formatCode>
                <c:ptCount val="10"/>
                <c:pt idx="8">
                  <c:v>5</c:v>
                </c:pt>
              </c:numCache>
            </c:numRef>
          </c:val>
          <c:extLst>
            <c:ext xmlns:c16="http://schemas.microsoft.com/office/drawing/2014/chart" uri="{C3380CC4-5D6E-409C-BE32-E72D297353CC}">
              <c16:uniqueId val="{00000003-45C3-4CB3-8399-8B19DEF0EE26}"/>
            </c:ext>
          </c:extLst>
        </c:ser>
        <c:dLbls>
          <c:showLegendKey val="0"/>
          <c:showVal val="0"/>
          <c:showCatName val="0"/>
          <c:showSerName val="0"/>
          <c:showPercent val="0"/>
          <c:showBubbleSize val="0"/>
        </c:dLbls>
        <c:gapWidth val="150"/>
        <c:shape val="box"/>
        <c:axId val="2108079936"/>
        <c:axId val="1"/>
        <c:axId val="0"/>
      </c:bar3DChart>
      <c:catAx>
        <c:axId val="2108079936"/>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
        <c:crosses val="autoZero"/>
        <c:auto val="1"/>
        <c:lblAlgn val="ctr"/>
        <c:lblOffset val="100"/>
        <c:tickLblSkip val="2"/>
        <c:tickMarkSkip val="1"/>
        <c:noMultiLvlLbl val="0"/>
      </c:catAx>
      <c:valAx>
        <c:axId val="1"/>
        <c:scaling>
          <c:orientation val="minMax"/>
        </c:scaling>
        <c:delete val="0"/>
        <c:axPos val="l"/>
        <c:majorGridlines>
          <c:spPr>
            <a:ln w="3171">
              <a:solidFill>
                <a:srgbClr val="000000"/>
              </a:solidFill>
              <a:prstDash val="solid"/>
            </a:ln>
          </c:spPr>
        </c:majorGridlines>
        <c:title>
          <c:tx>
            <c:rich>
              <a:bodyPr rot="0" vert="horz"/>
              <a:lstStyle/>
              <a:p>
                <a:pPr algn="ctr">
                  <a:defRPr sz="924" b="1" i="0" u="none" strike="noStrike" baseline="0">
                    <a:solidFill>
                      <a:srgbClr val="000000"/>
                    </a:solidFill>
                    <a:latin typeface="Arial Cyr"/>
                    <a:ea typeface="Arial Cyr"/>
                    <a:cs typeface="Arial Cyr"/>
                  </a:defRPr>
                </a:pPr>
                <a:r>
                  <a:rPr lang="ru-RU"/>
                  <a:t>%%</a:t>
                </a:r>
              </a:p>
            </c:rich>
          </c:tx>
          <c:layout>
            <c:manualLayout>
              <c:xMode val="edge"/>
              <c:yMode val="edge"/>
              <c:x val="0.10597826086956522"/>
              <c:y val="0.31958762886597936"/>
            </c:manualLayout>
          </c:layout>
          <c:overlay val="0"/>
          <c:spPr>
            <a:noFill/>
            <a:ln w="25369">
              <a:noFill/>
            </a:ln>
          </c:spPr>
        </c:title>
        <c:numFmt formatCode="General" sourceLinked="1"/>
        <c:majorTickMark val="out"/>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2108079936"/>
        <c:crosses val="autoZero"/>
        <c:crossBetween val="between"/>
      </c:valAx>
      <c:spPr>
        <a:noFill/>
        <a:ln w="25369">
          <a:noFill/>
        </a:ln>
      </c:spPr>
    </c:plotArea>
    <c:legend>
      <c:legendPos val="b"/>
      <c:layout>
        <c:manualLayout>
          <c:xMode val="edge"/>
          <c:yMode val="edge"/>
          <c:x val="2.4456521739130436E-2"/>
          <c:y val="0.87113402061855671"/>
          <c:w val="0.94565217391304346"/>
          <c:h val="0.11855670103092783"/>
        </c:manualLayout>
      </c:layout>
      <c:overlay val="0"/>
      <c:spPr>
        <a:solidFill>
          <a:srgbClr val="FFFFFF"/>
        </a:solidFill>
        <a:ln w="3171">
          <a:solidFill>
            <a:srgbClr val="000000"/>
          </a:solidFill>
          <a:prstDash val="solid"/>
        </a:ln>
      </c:spPr>
      <c:txPr>
        <a:bodyPr/>
        <a:lstStyle/>
        <a:p>
          <a:pPr>
            <a:defRPr sz="849"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1">
      <a:solidFill>
        <a:srgbClr val="000000"/>
      </a:solidFill>
      <a:prstDash val="solid"/>
    </a:ln>
    <a:effectLst>
      <a:outerShdw dist="35921" dir="2700000" algn="br">
        <a:srgbClr val="000000"/>
      </a:outerShdw>
    </a:effectLst>
  </c:spPr>
  <c:txPr>
    <a:bodyPr/>
    <a:lstStyle/>
    <a:p>
      <a:pPr>
        <a:defRPr sz="924"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98" b="1" i="0" u="none" strike="noStrike" baseline="0">
                <a:solidFill>
                  <a:srgbClr val="000000"/>
                </a:solidFill>
                <a:latin typeface="Arial Cyr"/>
                <a:ea typeface="Arial Cyr"/>
                <a:cs typeface="Arial Cyr"/>
              </a:defRPr>
            </a:pPr>
            <a:r>
              <a:rPr lang="ru-RU"/>
              <a:t>Рис.4. Клад Яз-Кираги.</a:t>
            </a:r>
          </a:p>
        </c:rich>
      </c:tx>
      <c:layout>
        <c:manualLayout>
          <c:xMode val="edge"/>
          <c:yMode val="edge"/>
          <c:x val="0.31372549019607843"/>
          <c:y val="1.9512195121951219E-2"/>
        </c:manualLayout>
      </c:layout>
      <c:overlay val="0"/>
      <c:spPr>
        <a:noFill/>
        <a:ln w="25355">
          <a:noFill/>
        </a:ln>
      </c:spPr>
    </c:title>
    <c:autoTitleDeleted val="0"/>
    <c:view3D>
      <c:rotX val="15"/>
      <c:hPercent val="55"/>
      <c:rotY val="20"/>
      <c:depthPercent val="2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000000"/>
          </a:solidFill>
          <a:prstDash val="solid"/>
        </a:ln>
      </c:spPr>
    </c:sideWall>
    <c:backWall>
      <c:thickness val="0"/>
      <c:spPr>
        <a:solidFill>
          <a:srgbClr val="FFFFFF"/>
        </a:solidFill>
        <a:ln w="12700">
          <a:solidFill>
            <a:srgbClr val="000000"/>
          </a:solidFill>
          <a:prstDash val="solid"/>
        </a:ln>
      </c:spPr>
    </c:backWall>
    <c:plotArea>
      <c:layout>
        <c:manualLayout>
          <c:layoutTarget val="inner"/>
          <c:xMode val="edge"/>
          <c:yMode val="edge"/>
          <c:x val="0.12745098039215685"/>
          <c:y val="0.2"/>
          <c:w val="0.58578431372549022"/>
          <c:h val="0.56097560975609762"/>
        </c:manualLayout>
      </c:layout>
      <c:bar3DChart>
        <c:barDir val="col"/>
        <c:grouping val="stacked"/>
        <c:varyColors val="0"/>
        <c:ser>
          <c:idx val="0"/>
          <c:order val="0"/>
          <c:tx>
            <c:strRef>
              <c:f>Лист7!$A$4</c:f>
              <c:strCache>
                <c:ptCount val="1"/>
                <c:pt idx="0">
                  <c:v>Аббасиды</c:v>
                </c:pt>
              </c:strCache>
            </c:strRef>
          </c:tx>
          <c:spPr>
            <a:solidFill>
              <a:srgbClr val="8080FF"/>
            </a:solidFill>
            <a:ln w="12678">
              <a:solidFill>
                <a:srgbClr val="000000"/>
              </a:solidFill>
              <a:prstDash val="solid"/>
            </a:ln>
          </c:spPr>
          <c:invertIfNegative val="0"/>
          <c:cat>
            <c:strRef>
              <c:f>Лист7!$B$3:$L$3</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Лист7!$B$4:$L$4</c:f>
              <c:numCache>
                <c:formatCode>General</c:formatCode>
                <c:ptCount val="11"/>
                <c:pt idx="0">
                  <c:v>8.44</c:v>
                </c:pt>
                <c:pt idx="1">
                  <c:v>2.2200000000000002</c:v>
                </c:pt>
                <c:pt idx="2">
                  <c:v>2.2200000000000002</c:v>
                </c:pt>
                <c:pt idx="3">
                  <c:v>2.2200000000000002</c:v>
                </c:pt>
                <c:pt idx="4">
                  <c:v>0.89</c:v>
                </c:pt>
                <c:pt idx="5">
                  <c:v>5.78</c:v>
                </c:pt>
                <c:pt idx="6">
                  <c:v>3.11</c:v>
                </c:pt>
                <c:pt idx="7">
                  <c:v>5.78</c:v>
                </c:pt>
                <c:pt idx="8">
                  <c:v>15.11</c:v>
                </c:pt>
                <c:pt idx="9">
                  <c:v>8.89</c:v>
                </c:pt>
                <c:pt idx="10">
                  <c:v>0.44</c:v>
                </c:pt>
              </c:numCache>
            </c:numRef>
          </c:val>
          <c:extLst>
            <c:ext xmlns:c16="http://schemas.microsoft.com/office/drawing/2014/chart" uri="{C3380CC4-5D6E-409C-BE32-E72D297353CC}">
              <c16:uniqueId val="{00000000-ACD8-46A5-A47E-3EF1A112D47B}"/>
            </c:ext>
          </c:extLst>
        </c:ser>
        <c:ser>
          <c:idx val="1"/>
          <c:order val="1"/>
          <c:tx>
            <c:strRef>
              <c:f>Лист7!$A$5</c:f>
              <c:strCache>
                <c:ptCount val="1"/>
                <c:pt idx="0">
                  <c:v>Буиды</c:v>
                </c:pt>
              </c:strCache>
            </c:strRef>
          </c:tx>
          <c:spPr>
            <a:solidFill>
              <a:srgbClr val="000000"/>
            </a:solidFill>
            <a:ln w="12678">
              <a:solidFill>
                <a:srgbClr val="000000"/>
              </a:solidFill>
              <a:prstDash val="solid"/>
            </a:ln>
          </c:spPr>
          <c:invertIfNegative val="0"/>
          <c:cat>
            <c:strRef>
              <c:f>Лист7!$B$3:$L$3</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Лист7!$B$5:$L$5</c:f>
              <c:numCache>
                <c:formatCode>General</c:formatCode>
                <c:ptCount val="11"/>
                <c:pt idx="9">
                  <c:v>3.11</c:v>
                </c:pt>
                <c:pt idx="10">
                  <c:v>17.78</c:v>
                </c:pt>
              </c:numCache>
            </c:numRef>
          </c:val>
          <c:extLst>
            <c:ext xmlns:c16="http://schemas.microsoft.com/office/drawing/2014/chart" uri="{C3380CC4-5D6E-409C-BE32-E72D297353CC}">
              <c16:uniqueId val="{00000001-ACD8-46A5-A47E-3EF1A112D47B}"/>
            </c:ext>
          </c:extLst>
        </c:ser>
        <c:ser>
          <c:idx val="2"/>
          <c:order val="2"/>
          <c:tx>
            <c:strRef>
              <c:f>Лист7!$A$6</c:f>
              <c:strCache>
                <c:ptCount val="1"/>
                <c:pt idx="0">
                  <c:v>Саманиды</c:v>
                </c:pt>
              </c:strCache>
            </c:strRef>
          </c:tx>
          <c:spPr>
            <a:solidFill>
              <a:srgbClr val="FFFFC0"/>
            </a:solidFill>
            <a:ln w="12678">
              <a:solidFill>
                <a:srgbClr val="000000"/>
              </a:solidFill>
              <a:prstDash val="solid"/>
            </a:ln>
          </c:spPr>
          <c:invertIfNegative val="0"/>
          <c:cat>
            <c:strRef>
              <c:f>Лист7!$B$3:$L$3</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Лист7!$B$6:$L$6</c:f>
              <c:numCache>
                <c:formatCode>General</c:formatCode>
                <c:ptCount val="11"/>
                <c:pt idx="5">
                  <c:v>0.44</c:v>
                </c:pt>
                <c:pt idx="7">
                  <c:v>0.44</c:v>
                </c:pt>
                <c:pt idx="9">
                  <c:v>2.67</c:v>
                </c:pt>
                <c:pt idx="10">
                  <c:v>6.67</c:v>
                </c:pt>
              </c:numCache>
            </c:numRef>
          </c:val>
          <c:extLst>
            <c:ext xmlns:c16="http://schemas.microsoft.com/office/drawing/2014/chart" uri="{C3380CC4-5D6E-409C-BE32-E72D297353CC}">
              <c16:uniqueId val="{00000002-ACD8-46A5-A47E-3EF1A112D47B}"/>
            </c:ext>
          </c:extLst>
        </c:ser>
        <c:ser>
          <c:idx val="3"/>
          <c:order val="3"/>
          <c:tx>
            <c:strRef>
              <c:f>Лист7!$A$7</c:f>
              <c:strCache>
                <c:ptCount val="1"/>
                <c:pt idx="0">
                  <c:v>Малые династии</c:v>
                </c:pt>
              </c:strCache>
            </c:strRef>
          </c:tx>
          <c:spPr>
            <a:solidFill>
              <a:srgbClr val="A0E0E0"/>
            </a:solidFill>
            <a:ln w="12678">
              <a:solidFill>
                <a:srgbClr val="000000"/>
              </a:solidFill>
              <a:prstDash val="solid"/>
            </a:ln>
          </c:spPr>
          <c:invertIfNegative val="0"/>
          <c:cat>
            <c:strRef>
              <c:f>Лист7!$B$3:$L$3</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Лист7!$B$7:$L$7</c:f>
              <c:numCache>
                <c:formatCode>General</c:formatCode>
                <c:ptCount val="11"/>
                <c:pt idx="3">
                  <c:v>0.44</c:v>
                </c:pt>
                <c:pt idx="4">
                  <c:v>1.78</c:v>
                </c:pt>
                <c:pt idx="5">
                  <c:v>0.44</c:v>
                </c:pt>
                <c:pt idx="6">
                  <c:v>0.44</c:v>
                </c:pt>
                <c:pt idx="7">
                  <c:v>0.44</c:v>
                </c:pt>
                <c:pt idx="8">
                  <c:v>3.55</c:v>
                </c:pt>
                <c:pt idx="9">
                  <c:v>2.67</c:v>
                </c:pt>
                <c:pt idx="10">
                  <c:v>4</c:v>
                </c:pt>
              </c:numCache>
            </c:numRef>
          </c:val>
          <c:extLst>
            <c:ext xmlns:c16="http://schemas.microsoft.com/office/drawing/2014/chart" uri="{C3380CC4-5D6E-409C-BE32-E72D297353CC}">
              <c16:uniqueId val="{00000003-ACD8-46A5-A47E-3EF1A112D47B}"/>
            </c:ext>
          </c:extLst>
        </c:ser>
        <c:dLbls>
          <c:showLegendKey val="0"/>
          <c:showVal val="0"/>
          <c:showCatName val="0"/>
          <c:showSerName val="0"/>
          <c:showPercent val="0"/>
          <c:showBubbleSize val="0"/>
        </c:dLbls>
        <c:gapWidth val="150"/>
        <c:gapDepth val="0"/>
        <c:shape val="box"/>
        <c:axId val="2107976800"/>
        <c:axId val="1"/>
        <c:axId val="0"/>
      </c:bar3DChart>
      <c:catAx>
        <c:axId val="2107976800"/>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2"/>
        <c:tickMarkSkip val="1"/>
        <c:noMultiLvlLbl val="0"/>
      </c:catAx>
      <c:valAx>
        <c:axId val="1"/>
        <c:scaling>
          <c:orientation val="minMax"/>
        </c:scaling>
        <c:delete val="0"/>
        <c:axPos val="l"/>
        <c:majorGridlines>
          <c:spPr>
            <a:ln w="3169">
              <a:solidFill>
                <a:srgbClr val="000000"/>
              </a:solidFill>
              <a:prstDash val="solid"/>
            </a:ln>
          </c:spPr>
        </c:majorGridlines>
        <c:title>
          <c:tx>
            <c:rich>
              <a:bodyPr/>
              <a:lstStyle/>
              <a:p>
                <a:pPr>
                  <a:defRPr sz="799" b="1" i="0" u="none" strike="noStrike" baseline="0">
                    <a:solidFill>
                      <a:srgbClr val="000000"/>
                    </a:solidFill>
                    <a:latin typeface="Arial Cyr"/>
                    <a:ea typeface="Arial Cyr"/>
                    <a:cs typeface="Arial Cyr"/>
                  </a:defRPr>
                </a:pPr>
                <a:r>
                  <a:rPr lang="ru-RU"/>
                  <a:t>%%</a:t>
                </a:r>
              </a:p>
            </c:rich>
          </c:tx>
          <c:layout>
            <c:manualLayout>
              <c:xMode val="edge"/>
              <c:yMode val="edge"/>
              <c:x val="7.3529411764705885E-2"/>
              <c:y val="0.44878048780487806"/>
            </c:manualLayout>
          </c:layout>
          <c:overlay val="0"/>
          <c:spPr>
            <a:noFill/>
            <a:ln w="25355">
              <a:noFill/>
            </a:ln>
          </c:spPr>
        </c:title>
        <c:numFmt formatCode="General" sourceLinked="1"/>
        <c:majorTickMark val="out"/>
        <c:minorTickMark val="none"/>
        <c:tickLblPos val="nextTo"/>
        <c:spPr>
          <a:ln w="3169">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2107976800"/>
        <c:crosses val="autoZero"/>
        <c:crossBetween val="between"/>
      </c:valAx>
      <c:spPr>
        <a:noFill/>
        <a:ln w="25355">
          <a:noFill/>
        </a:ln>
      </c:spPr>
    </c:plotArea>
    <c:legend>
      <c:legendPos val="r"/>
      <c:layout>
        <c:manualLayout>
          <c:xMode val="edge"/>
          <c:yMode val="edge"/>
          <c:x val="0.74019607843137258"/>
          <c:y val="0.3902439024390244"/>
          <c:w val="0.25245098039215685"/>
          <c:h val="0.37560975609756098"/>
        </c:manualLayout>
      </c:layout>
      <c:overlay val="0"/>
      <c:spPr>
        <a:solidFill>
          <a:srgbClr val="FFFFFF"/>
        </a:solidFill>
        <a:ln w="3169">
          <a:solidFill>
            <a:srgbClr val="000000"/>
          </a:solidFill>
          <a:prstDash val="solid"/>
        </a:ln>
      </c:spPr>
      <c:txPr>
        <a:bodyPr/>
        <a:lstStyle/>
        <a:p>
          <a:pPr>
            <a:defRPr sz="734"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69">
      <a:solidFill>
        <a:srgbClr val="000000"/>
      </a:solidFill>
      <a:prstDash val="solid"/>
    </a:ln>
    <a:effectLst>
      <a:outerShdw dist="35921" dir="2700000" algn="br">
        <a:srgbClr val="000000"/>
      </a:outerShdw>
    </a:effectLst>
  </c:spPr>
  <c:txPr>
    <a:bodyPr/>
    <a:lstStyle/>
    <a:p>
      <a:pPr>
        <a:defRPr sz="79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75609756097561"/>
          <c:y val="3.2640949554896145E-2"/>
          <c:w val="0.80975609756097566"/>
          <c:h val="0.63501483679525228"/>
        </c:manualLayout>
      </c:layout>
      <c:barChart>
        <c:barDir val="col"/>
        <c:grouping val="clustered"/>
        <c:varyColors val="0"/>
        <c:ser>
          <c:idx val="4"/>
          <c:order val="0"/>
          <c:tx>
            <c:strRef>
              <c:f>Лист2!$A$3</c:f>
              <c:strCache>
                <c:ptCount val="1"/>
                <c:pt idx="0">
                  <c:v>Яз-Кираги</c:v>
                </c:pt>
              </c:strCache>
            </c:strRef>
          </c:tx>
          <c:spPr>
            <a:solidFill>
              <a:srgbClr val="000000"/>
            </a:solidFill>
            <a:ln w="12695">
              <a:solidFill>
                <a:srgbClr val="000000"/>
              </a:solidFill>
              <a:prstDash val="solid"/>
            </a:ln>
          </c:spPr>
          <c:invertIfNegative val="0"/>
          <c:cat>
            <c:strRef>
              <c:f>Лист2!$B$2:$L$2</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Лист2!$B$3:$L$3</c:f>
              <c:numCache>
                <c:formatCode>General</c:formatCode>
                <c:ptCount val="11"/>
                <c:pt idx="0">
                  <c:v>19</c:v>
                </c:pt>
                <c:pt idx="1">
                  <c:v>5</c:v>
                </c:pt>
                <c:pt idx="2">
                  <c:v>5</c:v>
                </c:pt>
                <c:pt idx="3">
                  <c:v>5</c:v>
                </c:pt>
                <c:pt idx="4">
                  <c:v>2</c:v>
                </c:pt>
                <c:pt idx="5">
                  <c:v>13</c:v>
                </c:pt>
                <c:pt idx="6">
                  <c:v>7</c:v>
                </c:pt>
                <c:pt idx="7">
                  <c:v>13</c:v>
                </c:pt>
                <c:pt idx="8">
                  <c:v>34</c:v>
                </c:pt>
                <c:pt idx="9">
                  <c:v>20</c:v>
                </c:pt>
                <c:pt idx="10">
                  <c:v>1</c:v>
                </c:pt>
              </c:numCache>
            </c:numRef>
          </c:val>
          <c:extLst>
            <c:ext xmlns:c16="http://schemas.microsoft.com/office/drawing/2014/chart" uri="{C3380CC4-5D6E-409C-BE32-E72D297353CC}">
              <c16:uniqueId val="{00000000-AE89-4E38-932A-B216C397BEA5}"/>
            </c:ext>
          </c:extLst>
        </c:ser>
        <c:ser>
          <c:idx val="5"/>
          <c:order val="1"/>
          <c:tx>
            <c:strRef>
              <c:f>Лист2!$A$4</c:f>
              <c:strCache>
                <c:ptCount val="1"/>
                <c:pt idx="0">
                  <c:v>Банбаши</c:v>
                </c:pt>
              </c:strCache>
            </c:strRef>
          </c:tx>
          <c:spPr>
            <a:solidFill>
              <a:srgbClr val="FFFFFF"/>
            </a:solidFill>
            <a:ln w="12695">
              <a:solidFill>
                <a:srgbClr val="000000"/>
              </a:solidFill>
              <a:prstDash val="solid"/>
            </a:ln>
          </c:spPr>
          <c:invertIfNegative val="0"/>
          <c:cat>
            <c:strRef>
              <c:f>Лист2!$B$2:$L$2</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Лист2!$B$4:$L$4</c:f>
              <c:numCache>
                <c:formatCode>General</c:formatCode>
                <c:ptCount val="11"/>
                <c:pt idx="0">
                  <c:v>7</c:v>
                </c:pt>
                <c:pt idx="1">
                  <c:v>0</c:v>
                </c:pt>
                <c:pt idx="2">
                  <c:v>2</c:v>
                </c:pt>
                <c:pt idx="3">
                  <c:v>0</c:v>
                </c:pt>
                <c:pt idx="4">
                  <c:v>1</c:v>
                </c:pt>
                <c:pt idx="5">
                  <c:v>4</c:v>
                </c:pt>
                <c:pt idx="6">
                  <c:v>4</c:v>
                </c:pt>
                <c:pt idx="7">
                  <c:v>3</c:v>
                </c:pt>
                <c:pt idx="8">
                  <c:v>10</c:v>
                </c:pt>
                <c:pt idx="9">
                  <c:v>8</c:v>
                </c:pt>
              </c:numCache>
            </c:numRef>
          </c:val>
          <c:extLst>
            <c:ext xmlns:c16="http://schemas.microsoft.com/office/drawing/2014/chart" uri="{C3380CC4-5D6E-409C-BE32-E72D297353CC}">
              <c16:uniqueId val="{00000001-AE89-4E38-932A-B216C397BEA5}"/>
            </c:ext>
          </c:extLst>
        </c:ser>
        <c:ser>
          <c:idx val="6"/>
          <c:order val="2"/>
          <c:tx>
            <c:strRef>
              <c:f>Лист2!$A$5</c:f>
              <c:strCache>
                <c:ptCount val="1"/>
                <c:pt idx="0">
                  <c:v>Бзован</c:v>
                </c:pt>
              </c:strCache>
            </c:strRef>
          </c:tx>
          <c:spPr>
            <a:solidFill>
              <a:srgbClr val="0080C0"/>
            </a:solidFill>
            <a:ln w="12695">
              <a:solidFill>
                <a:srgbClr val="000000"/>
              </a:solidFill>
              <a:prstDash val="solid"/>
            </a:ln>
          </c:spPr>
          <c:invertIfNegative val="0"/>
          <c:cat>
            <c:strRef>
              <c:f>Лист2!$B$2:$L$2</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Лист2!$B$5:$L$5</c:f>
              <c:numCache>
                <c:formatCode>General</c:formatCode>
                <c:ptCount val="11"/>
                <c:pt idx="4">
                  <c:v>1</c:v>
                </c:pt>
                <c:pt idx="5">
                  <c:v>3</c:v>
                </c:pt>
                <c:pt idx="6">
                  <c:v>2</c:v>
                </c:pt>
                <c:pt idx="7">
                  <c:v>3</c:v>
                </c:pt>
                <c:pt idx="8">
                  <c:v>11</c:v>
                </c:pt>
              </c:numCache>
            </c:numRef>
          </c:val>
          <c:extLst>
            <c:ext xmlns:c16="http://schemas.microsoft.com/office/drawing/2014/chart" uri="{C3380CC4-5D6E-409C-BE32-E72D297353CC}">
              <c16:uniqueId val="{00000002-AE89-4E38-932A-B216C397BEA5}"/>
            </c:ext>
          </c:extLst>
        </c:ser>
        <c:ser>
          <c:idx val="7"/>
          <c:order val="3"/>
          <c:tx>
            <c:strRef>
              <c:f>Лист2!$A$6</c:f>
              <c:strCache>
                <c:ptCount val="1"/>
                <c:pt idx="0">
                  <c:v>Всего</c:v>
                </c:pt>
              </c:strCache>
            </c:strRef>
          </c:tx>
          <c:spPr>
            <a:solidFill>
              <a:srgbClr val="969696"/>
            </a:solidFill>
            <a:ln w="12695">
              <a:solidFill>
                <a:srgbClr val="000000"/>
              </a:solidFill>
              <a:prstDash val="solid"/>
            </a:ln>
          </c:spPr>
          <c:invertIfNegative val="0"/>
          <c:cat>
            <c:strRef>
              <c:f>Лист2!$B$2:$L$2</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Лист2!$B$6:$L$6</c:f>
              <c:numCache>
                <c:formatCode>General</c:formatCode>
                <c:ptCount val="11"/>
                <c:pt idx="0">
                  <c:v>26</c:v>
                </c:pt>
                <c:pt idx="1">
                  <c:v>5</c:v>
                </c:pt>
                <c:pt idx="2">
                  <c:v>7</c:v>
                </c:pt>
                <c:pt idx="3">
                  <c:v>5</c:v>
                </c:pt>
                <c:pt idx="4">
                  <c:v>4</c:v>
                </c:pt>
                <c:pt idx="5">
                  <c:v>20</c:v>
                </c:pt>
                <c:pt idx="6">
                  <c:v>13</c:v>
                </c:pt>
                <c:pt idx="7">
                  <c:v>19</c:v>
                </c:pt>
                <c:pt idx="8">
                  <c:v>55</c:v>
                </c:pt>
                <c:pt idx="9">
                  <c:v>28</c:v>
                </c:pt>
                <c:pt idx="10">
                  <c:v>1</c:v>
                </c:pt>
              </c:numCache>
            </c:numRef>
          </c:val>
          <c:extLst>
            <c:ext xmlns:c16="http://schemas.microsoft.com/office/drawing/2014/chart" uri="{C3380CC4-5D6E-409C-BE32-E72D297353CC}">
              <c16:uniqueId val="{00000003-AE89-4E38-932A-B216C397BEA5}"/>
            </c:ext>
          </c:extLst>
        </c:ser>
        <c:dLbls>
          <c:showLegendKey val="0"/>
          <c:showVal val="0"/>
          <c:showCatName val="0"/>
          <c:showSerName val="0"/>
          <c:showPercent val="0"/>
          <c:showBubbleSize val="0"/>
        </c:dLbls>
        <c:gapWidth val="150"/>
        <c:axId val="2104494736"/>
        <c:axId val="1"/>
      </c:barChart>
      <c:lineChart>
        <c:grouping val="standard"/>
        <c:varyColors val="0"/>
        <c:ser>
          <c:idx val="0"/>
          <c:order val="4"/>
          <c:tx>
            <c:strRef>
              <c:f>Лист2!$A$7</c:f>
              <c:strCache>
                <c:ptCount val="1"/>
                <c:pt idx="0">
                  <c:v>Яз-Кираги в %</c:v>
                </c:pt>
              </c:strCache>
            </c:strRef>
          </c:tx>
          <c:spPr>
            <a:ln w="12695">
              <a:solidFill>
                <a:srgbClr val="000000"/>
              </a:solidFill>
              <a:prstDash val="lgDash"/>
            </a:ln>
          </c:spPr>
          <c:marker>
            <c:symbol val="plus"/>
            <c:size val="4"/>
            <c:spPr>
              <a:solidFill>
                <a:srgbClr val="FFFFFF"/>
              </a:solidFill>
              <a:ln>
                <a:solidFill>
                  <a:srgbClr val="000000"/>
                </a:solidFill>
                <a:prstDash val="solid"/>
              </a:ln>
            </c:spPr>
          </c:marker>
          <c:cat>
            <c:strRef>
              <c:f>Лист2!$B$2:$L$2</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Лист2!$B$7:$L$7</c:f>
              <c:numCache>
                <c:formatCode>General</c:formatCode>
                <c:ptCount val="11"/>
                <c:pt idx="0">
                  <c:v>15.32</c:v>
                </c:pt>
                <c:pt idx="1">
                  <c:v>4.03</c:v>
                </c:pt>
                <c:pt idx="2">
                  <c:v>4.03</c:v>
                </c:pt>
                <c:pt idx="3">
                  <c:v>4.03</c:v>
                </c:pt>
                <c:pt idx="4">
                  <c:v>1.61</c:v>
                </c:pt>
                <c:pt idx="5">
                  <c:v>10.92</c:v>
                </c:pt>
                <c:pt idx="6">
                  <c:v>5.64</c:v>
                </c:pt>
                <c:pt idx="7">
                  <c:v>10.48</c:v>
                </c:pt>
                <c:pt idx="8">
                  <c:v>27.42</c:v>
                </c:pt>
                <c:pt idx="9">
                  <c:v>16.13</c:v>
                </c:pt>
                <c:pt idx="10">
                  <c:v>0.8</c:v>
                </c:pt>
              </c:numCache>
            </c:numRef>
          </c:val>
          <c:smooth val="0"/>
          <c:extLst>
            <c:ext xmlns:c16="http://schemas.microsoft.com/office/drawing/2014/chart" uri="{C3380CC4-5D6E-409C-BE32-E72D297353CC}">
              <c16:uniqueId val="{00000004-AE89-4E38-932A-B216C397BEA5}"/>
            </c:ext>
          </c:extLst>
        </c:ser>
        <c:ser>
          <c:idx val="1"/>
          <c:order val="5"/>
          <c:tx>
            <c:strRef>
              <c:f>Лист2!$A$8</c:f>
              <c:strCache>
                <c:ptCount val="1"/>
                <c:pt idx="0">
                  <c:v>Банбаши в%</c:v>
                </c:pt>
              </c:strCache>
            </c:strRef>
          </c:tx>
          <c:spPr>
            <a:ln w="12695">
              <a:solidFill>
                <a:srgbClr val="000000"/>
              </a:solidFill>
              <a:prstDash val="sysDash"/>
            </a:ln>
          </c:spPr>
          <c:marker>
            <c:symbol val="dot"/>
            <c:size val="4"/>
            <c:spPr>
              <a:solidFill>
                <a:srgbClr val="000000"/>
              </a:solidFill>
              <a:ln>
                <a:solidFill>
                  <a:srgbClr val="000000"/>
                </a:solidFill>
                <a:prstDash val="solid"/>
              </a:ln>
            </c:spPr>
          </c:marker>
          <c:cat>
            <c:strRef>
              <c:f>Лист2!$B$2:$L$2</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Лист2!$B$8:$L$8</c:f>
              <c:numCache>
                <c:formatCode>General</c:formatCode>
                <c:ptCount val="11"/>
                <c:pt idx="0">
                  <c:v>17.95</c:v>
                </c:pt>
                <c:pt idx="1">
                  <c:v>0</c:v>
                </c:pt>
                <c:pt idx="2">
                  <c:v>5.12</c:v>
                </c:pt>
                <c:pt idx="3">
                  <c:v>0</c:v>
                </c:pt>
                <c:pt idx="4">
                  <c:v>2.5099999999999998</c:v>
                </c:pt>
                <c:pt idx="5">
                  <c:v>10.25</c:v>
                </c:pt>
                <c:pt idx="6">
                  <c:v>10.25</c:v>
                </c:pt>
                <c:pt idx="7">
                  <c:v>7.69</c:v>
                </c:pt>
                <c:pt idx="8">
                  <c:v>25.64</c:v>
                </c:pt>
                <c:pt idx="9">
                  <c:v>20.51</c:v>
                </c:pt>
              </c:numCache>
            </c:numRef>
          </c:val>
          <c:smooth val="0"/>
          <c:extLst>
            <c:ext xmlns:c16="http://schemas.microsoft.com/office/drawing/2014/chart" uri="{C3380CC4-5D6E-409C-BE32-E72D297353CC}">
              <c16:uniqueId val="{00000005-AE89-4E38-932A-B216C397BEA5}"/>
            </c:ext>
          </c:extLst>
        </c:ser>
        <c:ser>
          <c:idx val="2"/>
          <c:order val="6"/>
          <c:tx>
            <c:strRef>
              <c:f>Лист2!$A$9</c:f>
              <c:strCache>
                <c:ptCount val="1"/>
                <c:pt idx="0">
                  <c:v>Бзован в %</c:v>
                </c:pt>
              </c:strCache>
            </c:strRef>
          </c:tx>
          <c:spPr>
            <a:ln w="12695">
              <a:solidFill>
                <a:srgbClr val="000000"/>
              </a:solidFill>
              <a:prstDash val="solid"/>
            </a:ln>
          </c:spPr>
          <c:marker>
            <c:symbol val="square"/>
            <c:size val="4"/>
            <c:spPr>
              <a:solidFill>
                <a:srgbClr val="000000"/>
              </a:solidFill>
              <a:ln>
                <a:solidFill>
                  <a:srgbClr val="000000"/>
                </a:solidFill>
                <a:prstDash val="solid"/>
              </a:ln>
            </c:spPr>
          </c:marker>
          <c:cat>
            <c:strRef>
              <c:f>Лист2!$B$2:$L$2</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Лист2!$B$9:$L$9</c:f>
              <c:numCache>
                <c:formatCode>General</c:formatCode>
                <c:ptCount val="11"/>
                <c:pt idx="4">
                  <c:v>5</c:v>
                </c:pt>
                <c:pt idx="5">
                  <c:v>15</c:v>
                </c:pt>
                <c:pt idx="6">
                  <c:v>10</c:v>
                </c:pt>
                <c:pt idx="7">
                  <c:v>15</c:v>
                </c:pt>
                <c:pt idx="8">
                  <c:v>55</c:v>
                </c:pt>
              </c:numCache>
            </c:numRef>
          </c:val>
          <c:smooth val="0"/>
          <c:extLst>
            <c:ext xmlns:c16="http://schemas.microsoft.com/office/drawing/2014/chart" uri="{C3380CC4-5D6E-409C-BE32-E72D297353CC}">
              <c16:uniqueId val="{00000006-AE89-4E38-932A-B216C397BEA5}"/>
            </c:ext>
          </c:extLst>
        </c:ser>
        <c:ser>
          <c:idx val="3"/>
          <c:order val="7"/>
          <c:tx>
            <c:strRef>
              <c:f>Лист2!$A$10</c:f>
              <c:strCache>
                <c:ptCount val="1"/>
                <c:pt idx="0">
                  <c:v>% в итогу</c:v>
                </c:pt>
              </c:strCache>
            </c:strRef>
          </c:tx>
          <c:spPr>
            <a:ln w="25390">
              <a:solidFill>
                <a:srgbClr val="000000"/>
              </a:solidFill>
              <a:prstDash val="solid"/>
            </a:ln>
          </c:spPr>
          <c:marker>
            <c:symbol val="diamond"/>
            <c:size val="4"/>
            <c:spPr>
              <a:solidFill>
                <a:srgbClr val="000000"/>
              </a:solidFill>
              <a:ln>
                <a:solidFill>
                  <a:srgbClr val="000000"/>
                </a:solidFill>
                <a:prstDash val="solid"/>
              </a:ln>
            </c:spPr>
          </c:marker>
          <c:trendline>
            <c:spPr>
              <a:ln w="25390">
                <a:solidFill>
                  <a:srgbClr val="000000"/>
                </a:solidFill>
                <a:prstDash val="solid"/>
              </a:ln>
            </c:spPr>
            <c:trendlineType val="linear"/>
            <c:dispRSqr val="0"/>
            <c:dispEq val="0"/>
          </c:trendline>
          <c:cat>
            <c:strRef>
              <c:f>Лист2!$B$2:$L$2</c:f>
              <c:strCache>
                <c:ptCount val="11"/>
                <c:pt idx="0">
                  <c:v>До 197</c:v>
                </c:pt>
                <c:pt idx="1">
                  <c:v>197-252</c:v>
                </c:pt>
                <c:pt idx="2">
                  <c:v>253-262</c:v>
                </c:pt>
                <c:pt idx="3">
                  <c:v>263-272</c:v>
                </c:pt>
                <c:pt idx="4">
                  <c:v>273-282</c:v>
                </c:pt>
                <c:pt idx="5">
                  <c:v>283-292</c:v>
                </c:pt>
                <c:pt idx="6">
                  <c:v>293-302</c:v>
                </c:pt>
                <c:pt idx="7">
                  <c:v>303-312</c:v>
                </c:pt>
                <c:pt idx="8">
                  <c:v>313-322</c:v>
                </c:pt>
                <c:pt idx="9">
                  <c:v>323-332</c:v>
                </c:pt>
                <c:pt idx="10">
                  <c:v>333-342</c:v>
                </c:pt>
              </c:strCache>
            </c:strRef>
          </c:cat>
          <c:val>
            <c:numRef>
              <c:f>Лист2!$B$10:$L$10</c:f>
              <c:numCache>
                <c:formatCode>General</c:formatCode>
                <c:ptCount val="11"/>
                <c:pt idx="0" formatCode="0.00%">
                  <c:v>0.14199999999999999</c:v>
                </c:pt>
                <c:pt idx="1">
                  <c:v>2.73</c:v>
                </c:pt>
                <c:pt idx="2">
                  <c:v>3.82</c:v>
                </c:pt>
                <c:pt idx="3">
                  <c:v>2.73</c:v>
                </c:pt>
                <c:pt idx="4">
                  <c:v>2.1800000000000002</c:v>
                </c:pt>
                <c:pt idx="5">
                  <c:v>10.92</c:v>
                </c:pt>
                <c:pt idx="6">
                  <c:v>7.1</c:v>
                </c:pt>
                <c:pt idx="7">
                  <c:v>10.38</c:v>
                </c:pt>
                <c:pt idx="8">
                  <c:v>30.05</c:v>
                </c:pt>
                <c:pt idx="9">
                  <c:v>15.3</c:v>
                </c:pt>
                <c:pt idx="10" formatCode="0.00%">
                  <c:v>5.4999999999999997E-3</c:v>
                </c:pt>
              </c:numCache>
            </c:numRef>
          </c:val>
          <c:smooth val="0"/>
          <c:extLst>
            <c:ext xmlns:c16="http://schemas.microsoft.com/office/drawing/2014/chart" uri="{C3380CC4-5D6E-409C-BE32-E72D297353CC}">
              <c16:uniqueId val="{00000008-AE89-4E38-932A-B216C397BEA5}"/>
            </c:ext>
          </c:extLst>
        </c:ser>
        <c:dLbls>
          <c:showLegendKey val="0"/>
          <c:showVal val="0"/>
          <c:showCatName val="0"/>
          <c:showSerName val="0"/>
          <c:showPercent val="0"/>
          <c:showBubbleSize val="0"/>
        </c:dLbls>
        <c:marker val="1"/>
        <c:smooth val="0"/>
        <c:axId val="3"/>
        <c:axId val="4"/>
      </c:lineChart>
      <c:catAx>
        <c:axId val="2104494736"/>
        <c:scaling>
          <c:orientation val="minMax"/>
        </c:scaling>
        <c:delete val="0"/>
        <c:axPos val="b"/>
        <c:numFmt formatCode="General" sourceLinked="1"/>
        <c:majorTickMark val="cross"/>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majorGridlines>
          <c:spPr>
            <a:ln w="3174">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ru-RU"/>
                  <a:t>Кол-во монет</a:t>
                </a:r>
              </a:p>
            </c:rich>
          </c:tx>
          <c:layout>
            <c:manualLayout>
              <c:xMode val="edge"/>
              <c:yMode val="edge"/>
              <c:x val="2.4390243902439024E-3"/>
              <c:y val="0.228486646884273"/>
            </c:manualLayout>
          </c:layout>
          <c:overlay val="0"/>
          <c:spPr>
            <a:noFill/>
            <a:ln w="25390">
              <a:noFill/>
            </a:ln>
          </c:spPr>
        </c:title>
        <c:numFmt formatCode="General" sourceLinked="1"/>
        <c:majorTickMark val="cross"/>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10449473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0"/>
        <c:lblAlgn val="ctr"/>
        <c:lblOffset val="100"/>
        <c:noMultiLvlLbl val="0"/>
      </c:catAx>
      <c:valAx>
        <c:axId val="4"/>
        <c:scaling>
          <c:orientation val="minMax"/>
        </c:scaling>
        <c:delete val="0"/>
        <c:axPos val="r"/>
        <c:title>
          <c:tx>
            <c:rich>
              <a:bodyPr/>
              <a:lstStyle/>
              <a:p>
                <a:pPr>
                  <a:defRPr sz="800" b="1" i="0" u="none" strike="noStrike" baseline="0">
                    <a:solidFill>
                      <a:srgbClr val="000000"/>
                    </a:solidFill>
                    <a:latin typeface="Arial Cyr"/>
                    <a:ea typeface="Arial Cyr"/>
                    <a:cs typeface="Arial Cyr"/>
                  </a:defRPr>
                </a:pPr>
                <a:r>
                  <a:rPr lang="ru-RU"/>
                  <a:t>в %%</a:t>
                </a:r>
              </a:p>
            </c:rich>
          </c:tx>
          <c:layout>
            <c:manualLayout>
              <c:xMode val="edge"/>
              <c:yMode val="edge"/>
              <c:x val="0.948780487804878"/>
              <c:y val="0.29970326409495551"/>
            </c:manualLayout>
          </c:layout>
          <c:overlay val="0"/>
          <c:spPr>
            <a:noFill/>
            <a:ln w="25390">
              <a:noFill/>
            </a:ln>
          </c:spPr>
        </c:title>
        <c:numFmt formatCode="General" sourceLinked="1"/>
        <c:majorTickMark val="cross"/>
        <c:minorTickMark val="none"/>
        <c:tickLblPos val="nextTo"/>
        <c:spPr>
          <a:ln w="3174">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3"/>
        <c:crosses val="max"/>
        <c:crossBetween val="between"/>
      </c:valAx>
      <c:spPr>
        <a:solidFill>
          <a:srgbClr val="FFFFFF"/>
        </a:solidFill>
        <a:ln w="12695">
          <a:solidFill>
            <a:srgbClr val="000000"/>
          </a:solidFill>
          <a:prstDash val="solid"/>
        </a:ln>
      </c:spPr>
    </c:plotArea>
    <c:legend>
      <c:legendPos val="r"/>
      <c:layout>
        <c:manualLayout>
          <c:xMode val="edge"/>
          <c:yMode val="edge"/>
          <c:x val="0"/>
          <c:y val="0.77744807121661719"/>
          <c:w val="0.9975609756097561"/>
          <c:h val="0.22551928783382788"/>
        </c:manualLayout>
      </c:layout>
      <c:overlay val="0"/>
      <c:spPr>
        <a:solidFill>
          <a:srgbClr val="FFFFFF"/>
        </a:solidFill>
        <a:ln w="3174">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371980676328497E-2"/>
          <c:y val="6.5217391304347824E-2"/>
          <c:w val="0.80676328502415462"/>
          <c:h val="0.58333333333333337"/>
        </c:manualLayout>
      </c:layout>
      <c:barChart>
        <c:barDir val="col"/>
        <c:grouping val="clustered"/>
        <c:varyColors val="0"/>
        <c:ser>
          <c:idx val="3"/>
          <c:order val="0"/>
          <c:tx>
            <c:strRef>
              <c:f>Лист4!$A$33</c:f>
              <c:strCache>
                <c:ptCount val="1"/>
                <c:pt idx="0">
                  <c:v>Банбаши</c:v>
                </c:pt>
              </c:strCache>
            </c:strRef>
          </c:tx>
          <c:spPr>
            <a:solidFill>
              <a:srgbClr val="FFFFC0"/>
            </a:solidFill>
            <a:ln w="12688">
              <a:solidFill>
                <a:srgbClr val="000000"/>
              </a:solidFill>
              <a:prstDash val="solid"/>
            </a:ln>
          </c:spPr>
          <c:invertIfNegative val="0"/>
          <c:cat>
            <c:strRef>
              <c:f>Лист4!$B$32:$G$32</c:f>
              <c:strCache>
                <c:ptCount val="6"/>
                <c:pt idx="0">
                  <c:v>283-292</c:v>
                </c:pt>
                <c:pt idx="1">
                  <c:v>293-302</c:v>
                </c:pt>
                <c:pt idx="2">
                  <c:v>303-312</c:v>
                </c:pt>
                <c:pt idx="3">
                  <c:v>313-322</c:v>
                </c:pt>
                <c:pt idx="4">
                  <c:v>323-332</c:v>
                </c:pt>
                <c:pt idx="5">
                  <c:v>333-342</c:v>
                </c:pt>
              </c:strCache>
            </c:strRef>
          </c:cat>
          <c:val>
            <c:numRef>
              <c:f>Лист4!$B$33:$G$33</c:f>
              <c:numCache>
                <c:formatCode>General</c:formatCode>
                <c:ptCount val="6"/>
                <c:pt idx="2">
                  <c:v>2</c:v>
                </c:pt>
                <c:pt idx="3">
                  <c:v>0</c:v>
                </c:pt>
                <c:pt idx="4">
                  <c:v>11</c:v>
                </c:pt>
                <c:pt idx="5">
                  <c:v>9</c:v>
                </c:pt>
              </c:numCache>
            </c:numRef>
          </c:val>
          <c:extLst>
            <c:ext xmlns:c16="http://schemas.microsoft.com/office/drawing/2014/chart" uri="{C3380CC4-5D6E-409C-BE32-E72D297353CC}">
              <c16:uniqueId val="{00000000-6F09-423D-B81B-4F5525910E67}"/>
            </c:ext>
          </c:extLst>
        </c:ser>
        <c:ser>
          <c:idx val="4"/>
          <c:order val="1"/>
          <c:tx>
            <c:strRef>
              <c:f>Лист4!$A$34</c:f>
              <c:strCache>
                <c:ptCount val="1"/>
                <c:pt idx="0">
                  <c:v>Яз-Кираги</c:v>
                </c:pt>
              </c:strCache>
            </c:strRef>
          </c:tx>
          <c:spPr>
            <a:solidFill>
              <a:srgbClr val="424242"/>
            </a:solidFill>
            <a:ln w="12688">
              <a:solidFill>
                <a:srgbClr val="000000"/>
              </a:solidFill>
              <a:prstDash val="solid"/>
            </a:ln>
          </c:spPr>
          <c:invertIfNegative val="0"/>
          <c:cat>
            <c:strRef>
              <c:f>Лист4!$B$32:$G$32</c:f>
              <c:strCache>
                <c:ptCount val="6"/>
                <c:pt idx="0">
                  <c:v>283-292</c:v>
                </c:pt>
                <c:pt idx="1">
                  <c:v>293-302</c:v>
                </c:pt>
                <c:pt idx="2">
                  <c:v>303-312</c:v>
                </c:pt>
                <c:pt idx="3">
                  <c:v>313-322</c:v>
                </c:pt>
                <c:pt idx="4">
                  <c:v>323-332</c:v>
                </c:pt>
                <c:pt idx="5">
                  <c:v>333-342</c:v>
                </c:pt>
              </c:strCache>
            </c:strRef>
          </c:cat>
          <c:val>
            <c:numRef>
              <c:f>Лист4!$B$34:$G$34</c:f>
              <c:numCache>
                <c:formatCode>General</c:formatCode>
                <c:ptCount val="6"/>
                <c:pt idx="0">
                  <c:v>4</c:v>
                </c:pt>
                <c:pt idx="1">
                  <c:v>1</c:v>
                </c:pt>
                <c:pt idx="2">
                  <c:v>3</c:v>
                </c:pt>
                <c:pt idx="3">
                  <c:v>8</c:v>
                </c:pt>
                <c:pt idx="4">
                  <c:v>19</c:v>
                </c:pt>
                <c:pt idx="5">
                  <c:v>64</c:v>
                </c:pt>
              </c:numCache>
            </c:numRef>
          </c:val>
          <c:extLst>
            <c:ext xmlns:c16="http://schemas.microsoft.com/office/drawing/2014/chart" uri="{C3380CC4-5D6E-409C-BE32-E72D297353CC}">
              <c16:uniqueId val="{00000001-6F09-423D-B81B-4F5525910E67}"/>
            </c:ext>
          </c:extLst>
        </c:ser>
        <c:ser>
          <c:idx val="5"/>
          <c:order val="2"/>
          <c:tx>
            <c:strRef>
              <c:f>Лист4!$A$35</c:f>
              <c:strCache>
                <c:ptCount val="1"/>
                <c:pt idx="0">
                  <c:v>Всего</c:v>
                </c:pt>
              </c:strCache>
            </c:strRef>
          </c:tx>
          <c:spPr>
            <a:solidFill>
              <a:srgbClr val="CC99FF"/>
            </a:solidFill>
            <a:ln w="12688">
              <a:solidFill>
                <a:srgbClr val="000000"/>
              </a:solidFill>
              <a:prstDash val="solid"/>
            </a:ln>
          </c:spPr>
          <c:invertIfNegative val="0"/>
          <c:cat>
            <c:strRef>
              <c:f>Лист4!$B$32:$G$32</c:f>
              <c:strCache>
                <c:ptCount val="6"/>
                <c:pt idx="0">
                  <c:v>283-292</c:v>
                </c:pt>
                <c:pt idx="1">
                  <c:v>293-302</c:v>
                </c:pt>
                <c:pt idx="2">
                  <c:v>303-312</c:v>
                </c:pt>
                <c:pt idx="3">
                  <c:v>313-322</c:v>
                </c:pt>
                <c:pt idx="4">
                  <c:v>323-332</c:v>
                </c:pt>
                <c:pt idx="5">
                  <c:v>333-342</c:v>
                </c:pt>
              </c:strCache>
            </c:strRef>
          </c:cat>
          <c:val>
            <c:numRef>
              <c:f>Лист4!$B$35:$G$35</c:f>
              <c:numCache>
                <c:formatCode>General</c:formatCode>
                <c:ptCount val="6"/>
                <c:pt idx="0">
                  <c:v>4</c:v>
                </c:pt>
                <c:pt idx="1">
                  <c:v>1</c:v>
                </c:pt>
                <c:pt idx="2">
                  <c:v>5</c:v>
                </c:pt>
                <c:pt idx="3">
                  <c:v>8</c:v>
                </c:pt>
                <c:pt idx="4">
                  <c:v>30</c:v>
                </c:pt>
                <c:pt idx="5">
                  <c:v>73</c:v>
                </c:pt>
              </c:numCache>
            </c:numRef>
          </c:val>
          <c:extLst>
            <c:ext xmlns:c16="http://schemas.microsoft.com/office/drawing/2014/chart" uri="{C3380CC4-5D6E-409C-BE32-E72D297353CC}">
              <c16:uniqueId val="{00000002-6F09-423D-B81B-4F5525910E67}"/>
            </c:ext>
          </c:extLst>
        </c:ser>
        <c:dLbls>
          <c:showLegendKey val="0"/>
          <c:showVal val="0"/>
          <c:showCatName val="0"/>
          <c:showSerName val="0"/>
          <c:showPercent val="0"/>
          <c:showBubbleSize val="0"/>
        </c:dLbls>
        <c:gapWidth val="150"/>
        <c:axId val="2106205872"/>
        <c:axId val="1"/>
      </c:barChart>
      <c:lineChart>
        <c:grouping val="standard"/>
        <c:varyColors val="0"/>
        <c:ser>
          <c:idx val="0"/>
          <c:order val="3"/>
          <c:tx>
            <c:strRef>
              <c:f>Лист4!$A$36</c:f>
              <c:strCache>
                <c:ptCount val="1"/>
                <c:pt idx="0">
                  <c:v>Баанбаши в %</c:v>
                </c:pt>
              </c:strCache>
            </c:strRef>
          </c:tx>
          <c:spPr>
            <a:ln w="12688">
              <a:solidFill>
                <a:srgbClr val="000080"/>
              </a:solidFill>
              <a:prstDash val="solid"/>
            </a:ln>
          </c:spPr>
          <c:marker>
            <c:symbol val="diamond"/>
            <c:size val="4"/>
            <c:spPr>
              <a:solidFill>
                <a:srgbClr val="000080"/>
              </a:solidFill>
              <a:ln>
                <a:solidFill>
                  <a:srgbClr val="000080"/>
                </a:solidFill>
                <a:prstDash val="solid"/>
              </a:ln>
            </c:spPr>
          </c:marker>
          <c:cat>
            <c:strRef>
              <c:f>Лист4!$B$32:$G$32</c:f>
              <c:strCache>
                <c:ptCount val="6"/>
                <c:pt idx="0">
                  <c:v>283-292</c:v>
                </c:pt>
                <c:pt idx="1">
                  <c:v>293-302</c:v>
                </c:pt>
                <c:pt idx="2">
                  <c:v>303-312</c:v>
                </c:pt>
                <c:pt idx="3">
                  <c:v>313-322</c:v>
                </c:pt>
                <c:pt idx="4">
                  <c:v>323-332</c:v>
                </c:pt>
                <c:pt idx="5">
                  <c:v>333-342</c:v>
                </c:pt>
              </c:strCache>
            </c:strRef>
          </c:cat>
          <c:val>
            <c:numRef>
              <c:f>Лист4!$B$36:$G$36</c:f>
              <c:numCache>
                <c:formatCode>General</c:formatCode>
                <c:ptCount val="6"/>
                <c:pt idx="2">
                  <c:v>9.09</c:v>
                </c:pt>
                <c:pt idx="3">
                  <c:v>0</c:v>
                </c:pt>
                <c:pt idx="4">
                  <c:v>50</c:v>
                </c:pt>
                <c:pt idx="5">
                  <c:v>40.9</c:v>
                </c:pt>
              </c:numCache>
            </c:numRef>
          </c:val>
          <c:smooth val="0"/>
          <c:extLst>
            <c:ext xmlns:c16="http://schemas.microsoft.com/office/drawing/2014/chart" uri="{C3380CC4-5D6E-409C-BE32-E72D297353CC}">
              <c16:uniqueId val="{00000003-6F09-423D-B81B-4F5525910E67}"/>
            </c:ext>
          </c:extLst>
        </c:ser>
        <c:ser>
          <c:idx val="1"/>
          <c:order val="4"/>
          <c:tx>
            <c:strRef>
              <c:f>Лист4!$A$37</c:f>
              <c:strCache>
                <c:ptCount val="1"/>
                <c:pt idx="0">
                  <c:v>Яз-Кираги в %</c:v>
                </c:pt>
              </c:strCache>
            </c:strRef>
          </c:tx>
          <c:spPr>
            <a:ln w="12688">
              <a:solidFill>
                <a:srgbClr val="000000"/>
              </a:solidFill>
              <a:prstDash val="sysDash"/>
            </a:ln>
          </c:spPr>
          <c:marker>
            <c:symbol val="dot"/>
            <c:size val="4"/>
            <c:spPr>
              <a:solidFill>
                <a:srgbClr val="000000"/>
              </a:solidFill>
              <a:ln>
                <a:solidFill>
                  <a:srgbClr val="000000"/>
                </a:solidFill>
                <a:prstDash val="solid"/>
              </a:ln>
            </c:spPr>
          </c:marker>
          <c:cat>
            <c:strRef>
              <c:f>Лист4!$B$32:$G$32</c:f>
              <c:strCache>
                <c:ptCount val="6"/>
                <c:pt idx="0">
                  <c:v>283-292</c:v>
                </c:pt>
                <c:pt idx="1">
                  <c:v>293-302</c:v>
                </c:pt>
                <c:pt idx="2">
                  <c:v>303-312</c:v>
                </c:pt>
                <c:pt idx="3">
                  <c:v>313-322</c:v>
                </c:pt>
                <c:pt idx="4">
                  <c:v>323-332</c:v>
                </c:pt>
                <c:pt idx="5">
                  <c:v>333-342</c:v>
                </c:pt>
              </c:strCache>
            </c:strRef>
          </c:cat>
          <c:val>
            <c:numRef>
              <c:f>Лист4!$B$37:$G$37</c:f>
              <c:numCache>
                <c:formatCode>General</c:formatCode>
                <c:ptCount val="6"/>
                <c:pt idx="0">
                  <c:v>4.04</c:v>
                </c:pt>
                <c:pt idx="1">
                  <c:v>1.01</c:v>
                </c:pt>
                <c:pt idx="2">
                  <c:v>3.03</c:v>
                </c:pt>
                <c:pt idx="3">
                  <c:v>8.08</c:v>
                </c:pt>
                <c:pt idx="4">
                  <c:v>19.190000000000001</c:v>
                </c:pt>
                <c:pt idx="5">
                  <c:v>64.64</c:v>
                </c:pt>
              </c:numCache>
            </c:numRef>
          </c:val>
          <c:smooth val="0"/>
          <c:extLst>
            <c:ext xmlns:c16="http://schemas.microsoft.com/office/drawing/2014/chart" uri="{C3380CC4-5D6E-409C-BE32-E72D297353CC}">
              <c16:uniqueId val="{00000004-6F09-423D-B81B-4F5525910E67}"/>
            </c:ext>
          </c:extLst>
        </c:ser>
        <c:ser>
          <c:idx val="2"/>
          <c:order val="5"/>
          <c:tx>
            <c:strRef>
              <c:f>Лист4!$A$38</c:f>
              <c:strCache>
                <c:ptCount val="1"/>
                <c:pt idx="0">
                  <c:v>% к итогу</c:v>
                </c:pt>
              </c:strCache>
            </c:strRef>
          </c:tx>
          <c:spPr>
            <a:ln w="25377">
              <a:solidFill>
                <a:srgbClr val="000000"/>
              </a:solidFill>
              <a:prstDash val="solid"/>
            </a:ln>
          </c:spPr>
          <c:marker>
            <c:symbol val="circle"/>
            <c:size val="4"/>
            <c:spPr>
              <a:solidFill>
                <a:srgbClr val="000000"/>
              </a:solidFill>
              <a:ln>
                <a:solidFill>
                  <a:srgbClr val="000000"/>
                </a:solidFill>
                <a:prstDash val="solid"/>
              </a:ln>
            </c:spPr>
          </c:marker>
          <c:trendline>
            <c:spPr>
              <a:ln w="25377">
                <a:solidFill>
                  <a:srgbClr val="000000"/>
                </a:solidFill>
                <a:prstDash val="solid"/>
              </a:ln>
            </c:spPr>
            <c:trendlineType val="linear"/>
            <c:forward val="1"/>
            <c:dispRSqr val="0"/>
            <c:dispEq val="0"/>
          </c:trendline>
          <c:cat>
            <c:strRef>
              <c:f>Лист4!$B$32:$G$32</c:f>
              <c:strCache>
                <c:ptCount val="6"/>
                <c:pt idx="0">
                  <c:v>283-292</c:v>
                </c:pt>
                <c:pt idx="1">
                  <c:v>293-302</c:v>
                </c:pt>
                <c:pt idx="2">
                  <c:v>303-312</c:v>
                </c:pt>
                <c:pt idx="3">
                  <c:v>313-322</c:v>
                </c:pt>
                <c:pt idx="4">
                  <c:v>323-332</c:v>
                </c:pt>
                <c:pt idx="5">
                  <c:v>333-342</c:v>
                </c:pt>
              </c:strCache>
            </c:strRef>
          </c:cat>
          <c:val>
            <c:numRef>
              <c:f>Лист4!$B$38:$G$38</c:f>
              <c:numCache>
                <c:formatCode>General</c:formatCode>
                <c:ptCount val="6"/>
                <c:pt idx="0">
                  <c:v>3.3</c:v>
                </c:pt>
                <c:pt idx="1">
                  <c:v>0.82</c:v>
                </c:pt>
                <c:pt idx="2">
                  <c:v>4.13</c:v>
                </c:pt>
                <c:pt idx="3">
                  <c:v>6.61</c:v>
                </c:pt>
                <c:pt idx="4">
                  <c:v>24.79</c:v>
                </c:pt>
                <c:pt idx="5">
                  <c:v>60.3</c:v>
                </c:pt>
              </c:numCache>
            </c:numRef>
          </c:val>
          <c:smooth val="0"/>
          <c:extLst>
            <c:ext xmlns:c16="http://schemas.microsoft.com/office/drawing/2014/chart" uri="{C3380CC4-5D6E-409C-BE32-E72D297353CC}">
              <c16:uniqueId val="{00000006-6F09-423D-B81B-4F5525910E67}"/>
            </c:ext>
          </c:extLst>
        </c:ser>
        <c:dLbls>
          <c:showLegendKey val="0"/>
          <c:showVal val="0"/>
          <c:showCatName val="0"/>
          <c:showSerName val="0"/>
          <c:showPercent val="0"/>
          <c:showBubbleSize val="0"/>
        </c:dLbls>
        <c:marker val="1"/>
        <c:smooth val="0"/>
        <c:axId val="3"/>
        <c:axId val="4"/>
      </c:lineChart>
      <c:catAx>
        <c:axId val="2106205872"/>
        <c:scaling>
          <c:orientation val="minMax"/>
        </c:scaling>
        <c:delete val="0"/>
        <c:axPos val="b"/>
        <c:numFmt formatCode="General" sourceLinked="1"/>
        <c:majorTickMark val="cross"/>
        <c:minorTickMark val="none"/>
        <c:tickLblPos val="nextTo"/>
        <c:spPr>
          <a:ln w="3172">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majorGridlines>
          <c:spPr>
            <a:ln w="3172">
              <a:solidFill>
                <a:srgbClr val="000000"/>
              </a:solidFill>
              <a:prstDash val="solid"/>
            </a:ln>
          </c:spPr>
        </c:majorGridlines>
        <c:title>
          <c:tx>
            <c:rich>
              <a:bodyPr/>
              <a:lstStyle/>
              <a:p>
                <a:pPr>
                  <a:defRPr sz="799" b="1" i="0" u="none" strike="noStrike" baseline="0">
                    <a:solidFill>
                      <a:srgbClr val="000000"/>
                    </a:solidFill>
                    <a:latin typeface="Arial Cyr"/>
                    <a:ea typeface="Arial Cyr"/>
                    <a:cs typeface="Arial Cyr"/>
                  </a:defRPr>
                </a:pPr>
                <a:r>
                  <a:rPr lang="ru-RU"/>
                  <a:t>Кол-во монет</a:t>
                </a:r>
              </a:p>
            </c:rich>
          </c:tx>
          <c:layout>
            <c:manualLayout>
              <c:xMode val="edge"/>
              <c:yMode val="edge"/>
              <c:x val="0"/>
              <c:y val="0.2318840579710145"/>
            </c:manualLayout>
          </c:layout>
          <c:overlay val="0"/>
          <c:spPr>
            <a:noFill/>
            <a:ln w="25377">
              <a:noFill/>
            </a:ln>
          </c:spPr>
        </c:title>
        <c:numFmt formatCode="General" sourceLinked="1"/>
        <c:majorTickMark val="cross"/>
        <c:minorTickMark val="none"/>
        <c:tickLblPos val="nextTo"/>
        <c:spPr>
          <a:ln w="3172">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2106205872"/>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0"/>
        <c:lblAlgn val="ctr"/>
        <c:lblOffset val="100"/>
        <c:noMultiLvlLbl val="0"/>
      </c:catAx>
      <c:valAx>
        <c:axId val="4"/>
        <c:scaling>
          <c:orientation val="minMax"/>
        </c:scaling>
        <c:delete val="0"/>
        <c:axPos val="r"/>
        <c:title>
          <c:tx>
            <c:rich>
              <a:bodyPr/>
              <a:lstStyle/>
              <a:p>
                <a:pPr>
                  <a:defRPr sz="799" b="1" i="0" u="none" strike="noStrike" baseline="0">
                    <a:solidFill>
                      <a:srgbClr val="000000"/>
                    </a:solidFill>
                    <a:latin typeface="Arial Cyr"/>
                    <a:ea typeface="Arial Cyr"/>
                    <a:cs typeface="Arial Cyr"/>
                  </a:defRPr>
                </a:pPr>
                <a:r>
                  <a:rPr lang="ru-RU"/>
                  <a:t>В процентах</a:t>
                </a:r>
              </a:p>
            </c:rich>
          </c:tx>
          <c:layout>
            <c:manualLayout>
              <c:xMode val="edge"/>
              <c:yMode val="edge"/>
              <c:x val="0.94927536231884058"/>
              <c:y val="0.3079710144927536"/>
            </c:manualLayout>
          </c:layout>
          <c:overlay val="0"/>
          <c:spPr>
            <a:noFill/>
            <a:ln w="25377">
              <a:noFill/>
            </a:ln>
          </c:spPr>
        </c:title>
        <c:numFmt formatCode="General" sourceLinked="1"/>
        <c:majorTickMark val="cross"/>
        <c:minorTickMark val="none"/>
        <c:tickLblPos val="nextTo"/>
        <c:spPr>
          <a:ln w="3172">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3"/>
        <c:crosses val="max"/>
        <c:crossBetween val="between"/>
      </c:valAx>
      <c:spPr>
        <a:solidFill>
          <a:srgbClr val="FFFFFF"/>
        </a:solidFill>
        <a:ln w="12688">
          <a:solidFill>
            <a:srgbClr val="808080"/>
          </a:solidFill>
          <a:prstDash val="solid"/>
        </a:ln>
      </c:spPr>
    </c:plotArea>
    <c:legend>
      <c:legendPos val="b"/>
      <c:layout>
        <c:manualLayout>
          <c:xMode val="edge"/>
          <c:yMode val="edge"/>
          <c:x val="4.3478260869565216E-2"/>
          <c:y val="0.76449275362318836"/>
          <c:w val="0.92753623188405798"/>
          <c:h val="0.2391304347826087"/>
        </c:manualLayout>
      </c:layout>
      <c:overlay val="0"/>
      <c:spPr>
        <a:solidFill>
          <a:srgbClr val="FFFFFF"/>
        </a:solidFill>
        <a:ln w="3172">
          <a:solidFill>
            <a:srgbClr val="000000"/>
          </a:solidFill>
          <a:prstDash val="solid"/>
        </a:ln>
      </c:spPr>
      <c:txPr>
        <a:bodyPr/>
        <a:lstStyle/>
        <a:p>
          <a:pPr>
            <a:defRPr sz="734"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799"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689189189189189"/>
          <c:y val="0.18951612903225806"/>
          <c:w val="0.5067567567567568"/>
          <c:h val="0.60483870967741937"/>
        </c:manualLayout>
      </c:layout>
      <c:pieChart>
        <c:varyColors val="1"/>
        <c:ser>
          <c:idx val="0"/>
          <c:order val="0"/>
          <c:spPr>
            <a:solidFill>
              <a:srgbClr val="8080FF"/>
            </a:solidFill>
            <a:ln w="12700">
              <a:solidFill>
                <a:srgbClr val="000000"/>
              </a:solidFill>
              <a:prstDash val="solid"/>
            </a:ln>
          </c:spPr>
          <c:dPt>
            <c:idx val="0"/>
            <c:bubble3D val="0"/>
            <c:extLst>
              <c:ext xmlns:c16="http://schemas.microsoft.com/office/drawing/2014/chart" uri="{C3380CC4-5D6E-409C-BE32-E72D297353CC}">
                <c16:uniqueId val="{00000000-0450-4A94-9140-99E7B3B4F90A}"/>
              </c:ext>
            </c:extLst>
          </c:dPt>
          <c:dPt>
            <c:idx val="1"/>
            <c:bubble3D val="0"/>
            <c:spPr>
              <a:solidFill>
                <a:srgbClr val="802060"/>
              </a:solidFill>
              <a:ln w="12700">
                <a:solidFill>
                  <a:srgbClr val="000000"/>
                </a:solidFill>
                <a:prstDash val="solid"/>
              </a:ln>
            </c:spPr>
            <c:extLst>
              <c:ext xmlns:c16="http://schemas.microsoft.com/office/drawing/2014/chart" uri="{C3380CC4-5D6E-409C-BE32-E72D297353CC}">
                <c16:uniqueId val="{00000001-0450-4A94-9140-99E7B3B4F90A}"/>
              </c:ext>
            </c:extLst>
          </c:dPt>
          <c:dPt>
            <c:idx val="2"/>
            <c:bubble3D val="0"/>
            <c:spPr>
              <a:solidFill>
                <a:srgbClr val="FFFFC0"/>
              </a:solidFill>
              <a:ln w="12700">
                <a:solidFill>
                  <a:srgbClr val="000000"/>
                </a:solidFill>
                <a:prstDash val="solid"/>
              </a:ln>
            </c:spPr>
            <c:extLst>
              <c:ext xmlns:c16="http://schemas.microsoft.com/office/drawing/2014/chart" uri="{C3380CC4-5D6E-409C-BE32-E72D297353CC}">
                <c16:uniqueId val="{00000002-0450-4A94-9140-99E7B3B4F90A}"/>
              </c:ext>
            </c:extLst>
          </c:dPt>
          <c:dPt>
            <c:idx val="3"/>
            <c:bubble3D val="0"/>
            <c:spPr>
              <a:solidFill>
                <a:srgbClr val="A0E0E0"/>
              </a:solidFill>
              <a:ln w="12700">
                <a:solidFill>
                  <a:srgbClr val="000000"/>
                </a:solidFill>
                <a:prstDash val="solid"/>
              </a:ln>
            </c:spPr>
            <c:extLst>
              <c:ext xmlns:c16="http://schemas.microsoft.com/office/drawing/2014/chart" uri="{C3380CC4-5D6E-409C-BE32-E72D297353CC}">
                <c16:uniqueId val="{00000003-0450-4A94-9140-99E7B3B4F90A}"/>
              </c:ext>
            </c:extLst>
          </c:dPt>
          <c:dPt>
            <c:idx val="4"/>
            <c:bubble3D val="0"/>
            <c:spPr>
              <a:solidFill>
                <a:srgbClr val="600080"/>
              </a:solidFill>
              <a:ln w="12700">
                <a:solidFill>
                  <a:srgbClr val="000000"/>
                </a:solidFill>
                <a:prstDash val="solid"/>
              </a:ln>
            </c:spPr>
            <c:extLst>
              <c:ext xmlns:c16="http://schemas.microsoft.com/office/drawing/2014/chart" uri="{C3380CC4-5D6E-409C-BE32-E72D297353CC}">
                <c16:uniqueId val="{00000004-0450-4A94-9140-99E7B3B4F90A}"/>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5-0450-4A94-9140-99E7B3B4F90A}"/>
              </c:ext>
            </c:extLst>
          </c:dPt>
          <c:dPt>
            <c:idx val="6"/>
            <c:bubble3D val="0"/>
            <c:spPr>
              <a:solidFill>
                <a:srgbClr val="0080C0"/>
              </a:solidFill>
              <a:ln w="12700">
                <a:solidFill>
                  <a:srgbClr val="000000"/>
                </a:solidFill>
                <a:prstDash val="solid"/>
              </a:ln>
            </c:spPr>
            <c:extLst>
              <c:ext xmlns:c16="http://schemas.microsoft.com/office/drawing/2014/chart" uri="{C3380CC4-5D6E-409C-BE32-E72D297353CC}">
                <c16:uniqueId val="{00000006-0450-4A94-9140-99E7B3B4F90A}"/>
              </c:ext>
            </c:extLst>
          </c:dPt>
          <c:dPt>
            <c:idx val="7"/>
            <c:bubble3D val="0"/>
            <c:spPr>
              <a:solidFill>
                <a:srgbClr val="C0C0FF"/>
              </a:solidFill>
              <a:ln w="12700">
                <a:solidFill>
                  <a:srgbClr val="000000"/>
                </a:solidFill>
                <a:prstDash val="solid"/>
              </a:ln>
            </c:spPr>
            <c:extLst>
              <c:ext xmlns:c16="http://schemas.microsoft.com/office/drawing/2014/chart" uri="{C3380CC4-5D6E-409C-BE32-E72D297353CC}">
                <c16:uniqueId val="{00000007-0450-4A94-9140-99E7B3B4F90A}"/>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08-0450-4A94-9140-99E7B3B4F90A}"/>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09-0450-4A94-9140-99E7B3B4F90A}"/>
              </c:ext>
            </c:extLst>
          </c:dPt>
          <c:dLbls>
            <c:dLbl>
              <c:idx val="0"/>
              <c:layout>
                <c:manualLayout>
                  <c:xMode val="edge"/>
                  <c:yMode val="edge"/>
                  <c:x val="0.46959459459459457"/>
                  <c:y val="4.0322580645161289E-2"/>
                </c:manualLayout>
              </c:layout>
              <c:numFmt formatCode="0%" sourceLinked="0"/>
              <c:spPr>
                <a:noFill/>
                <a:ln w="25401">
                  <a:noFill/>
                </a:ln>
              </c:spPr>
              <c:txPr>
                <a:bodyPr/>
                <a:lstStyle/>
                <a:p>
                  <a:pPr>
                    <a:defRPr sz="8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450-4A94-9140-99E7B3B4F90A}"/>
                </c:ext>
              </c:extLst>
            </c:dLbl>
            <c:dLbl>
              <c:idx val="1"/>
              <c:layout>
                <c:manualLayout>
                  <c:xMode val="edge"/>
                  <c:yMode val="edge"/>
                  <c:x val="0.6283783783783784"/>
                  <c:y val="8.0645161290322578E-2"/>
                </c:manualLayout>
              </c:layout>
              <c:numFmt formatCode="0%" sourceLinked="0"/>
              <c:spPr>
                <a:noFill/>
                <a:ln w="25401">
                  <a:noFill/>
                </a:ln>
              </c:spPr>
              <c:txPr>
                <a:bodyPr/>
                <a:lstStyle/>
                <a:p>
                  <a:pPr>
                    <a:defRPr sz="8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450-4A94-9140-99E7B3B4F90A}"/>
                </c:ext>
              </c:extLst>
            </c:dLbl>
            <c:dLbl>
              <c:idx val="5"/>
              <c:layout>
                <c:manualLayout>
                  <c:xMode val="edge"/>
                  <c:yMode val="edge"/>
                  <c:x val="0.63851351351351349"/>
                  <c:y val="0.74596774193548387"/>
                </c:manualLayout>
              </c:layout>
              <c:numFmt formatCode="0%" sourceLinked="0"/>
              <c:spPr>
                <a:noFill/>
                <a:ln w="25401">
                  <a:noFill/>
                </a:ln>
              </c:spPr>
              <c:txPr>
                <a:bodyPr/>
                <a:lstStyle/>
                <a:p>
                  <a:pPr>
                    <a:defRPr sz="8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450-4A94-9140-99E7B3B4F90A}"/>
                </c:ext>
              </c:extLst>
            </c:dLbl>
            <c:numFmt formatCode="0%" sourceLinked="0"/>
            <c:spPr>
              <a:noFill/>
              <a:ln w="25401">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Sheet1!$A$37:$A$46</c:f>
              <c:strCache>
                <c:ptCount val="10"/>
                <c:pt idx="0">
                  <c:v>Арминия</c:v>
                </c:pt>
                <c:pt idx="1">
                  <c:v>Васит</c:v>
                </c:pt>
                <c:pt idx="2">
                  <c:v>Гор.?</c:v>
                </c:pt>
                <c:pt idx="3">
                  <c:v>Шираз</c:v>
                </c:pt>
                <c:pt idx="4">
                  <c:v>Харран</c:v>
                </c:pt>
                <c:pt idx="5">
                  <c:v>Басра</c:v>
                </c:pt>
                <c:pt idx="6">
                  <c:v>Насыбин</c:v>
                </c:pt>
                <c:pt idx="7">
                  <c:v>Рас ал-айн</c:v>
                </c:pt>
                <c:pt idx="8">
                  <c:v>Ахваз</c:v>
                </c:pt>
                <c:pt idx="9">
                  <c:v>М/Салам</c:v>
                </c:pt>
              </c:strCache>
            </c:strRef>
          </c:cat>
          <c:val>
            <c:numRef>
              <c:f>Sheet1!$B$37:$B$46</c:f>
              <c:numCache>
                <c:formatCode>General</c:formatCode>
                <c:ptCount val="10"/>
                <c:pt idx="0">
                  <c:v>4.76</c:v>
                </c:pt>
                <c:pt idx="1">
                  <c:v>4.76</c:v>
                </c:pt>
                <c:pt idx="2">
                  <c:v>19.04</c:v>
                </c:pt>
                <c:pt idx="3">
                  <c:v>4.76</c:v>
                </c:pt>
                <c:pt idx="4">
                  <c:v>4.76</c:v>
                </c:pt>
                <c:pt idx="5">
                  <c:v>4.76</c:v>
                </c:pt>
                <c:pt idx="6">
                  <c:v>14.28</c:v>
                </c:pt>
                <c:pt idx="7">
                  <c:v>4.76</c:v>
                </c:pt>
                <c:pt idx="8">
                  <c:v>9.52</c:v>
                </c:pt>
                <c:pt idx="9">
                  <c:v>28.57</c:v>
                </c:pt>
              </c:numCache>
            </c:numRef>
          </c:val>
          <c:extLst>
            <c:ext xmlns:c16="http://schemas.microsoft.com/office/drawing/2014/chart" uri="{C3380CC4-5D6E-409C-BE32-E72D297353CC}">
              <c16:uniqueId val="{0000000A-0450-4A94-9140-99E7B3B4F90A}"/>
            </c:ext>
          </c:extLst>
        </c:ser>
        <c:dLbls>
          <c:dLblPos val="outEnd"/>
          <c:showLegendKey val="0"/>
          <c:showVal val="0"/>
          <c:showCatName val="1"/>
          <c:showSerName val="0"/>
          <c:showPercent val="1"/>
          <c:showBubbleSize val="0"/>
          <c:showLeaderLines val="0"/>
        </c:dLbls>
        <c:firstSliceAng val="0"/>
      </c:pieChart>
      <c:spPr>
        <a:noFill/>
        <a:ln w="25401">
          <a:noFill/>
        </a:ln>
      </c:spPr>
    </c:plotArea>
    <c:plotVisOnly val="1"/>
    <c:dispBlanksAs val="zero"/>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Cyr"/>
                <a:ea typeface="Arial Cyr"/>
                <a:cs typeface="Arial Cyr"/>
              </a:defRPr>
            </a:pPr>
            <a:r>
              <a:rPr lang="ru-RU"/>
              <a:t>Чистопольский клад 1885 г. Хронологго-династийное распределение.</a:t>
            </a:r>
          </a:p>
        </c:rich>
      </c:tx>
      <c:layout>
        <c:manualLayout>
          <c:xMode val="edge"/>
          <c:yMode val="edge"/>
          <c:x val="0.1514360313315927"/>
          <c:y val="1.953125E-2"/>
        </c:manualLayout>
      </c:layout>
      <c:overlay val="0"/>
      <c:spPr>
        <a:noFill/>
        <a:ln w="25409">
          <a:noFill/>
        </a:ln>
      </c:spPr>
    </c:title>
    <c:autoTitleDeleted val="0"/>
    <c:view3D>
      <c:rotX val="10"/>
      <c:hPercent val="68"/>
      <c:rotY val="10"/>
      <c:depthPercent val="2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000000"/>
          </a:solidFill>
          <a:prstDash val="solid"/>
        </a:ln>
      </c:spPr>
    </c:sideWall>
    <c:backWall>
      <c:thickness val="0"/>
      <c:spPr>
        <a:solidFill>
          <a:srgbClr val="FFFFFF"/>
        </a:solidFill>
        <a:ln w="12700">
          <a:solidFill>
            <a:srgbClr val="000000"/>
          </a:solidFill>
          <a:prstDash val="solid"/>
        </a:ln>
      </c:spPr>
    </c:backWall>
    <c:plotArea>
      <c:layout>
        <c:manualLayout>
          <c:layoutTarget val="inner"/>
          <c:xMode val="edge"/>
          <c:yMode val="edge"/>
          <c:x val="0.13577023498694518"/>
          <c:y val="0.234375"/>
          <c:w val="0.60574412532637079"/>
          <c:h val="0.57421875"/>
        </c:manualLayout>
      </c:layout>
      <c:bar3DChart>
        <c:barDir val="col"/>
        <c:grouping val="stacked"/>
        <c:varyColors val="0"/>
        <c:ser>
          <c:idx val="0"/>
          <c:order val="0"/>
          <c:tx>
            <c:strRef>
              <c:f>Лист1!$A$29</c:f>
              <c:strCache>
                <c:ptCount val="1"/>
                <c:pt idx="0">
                  <c:v>Саманиды</c:v>
                </c:pt>
              </c:strCache>
            </c:strRef>
          </c:tx>
          <c:spPr>
            <a:solidFill>
              <a:srgbClr val="FFFFFF"/>
            </a:solidFill>
            <a:ln w="12704">
              <a:solidFill>
                <a:srgbClr val="000000"/>
              </a:solidFill>
              <a:prstDash val="solid"/>
            </a:ln>
          </c:spPr>
          <c:invertIfNegative val="0"/>
          <c:cat>
            <c:strRef>
              <c:f>Лист1!$B$28:$I$28</c:f>
              <c:strCache>
                <c:ptCount val="8"/>
                <c:pt idx="0">
                  <c:v>615-924</c:v>
                </c:pt>
                <c:pt idx="1">
                  <c:v>925-934</c:v>
                </c:pt>
                <c:pt idx="2">
                  <c:v>935-944</c:v>
                </c:pt>
                <c:pt idx="3">
                  <c:v>945-954</c:v>
                </c:pt>
                <c:pt idx="4">
                  <c:v>955-964</c:v>
                </c:pt>
                <c:pt idx="5">
                  <c:v>965-974</c:v>
                </c:pt>
                <c:pt idx="6">
                  <c:v>975-984</c:v>
                </c:pt>
                <c:pt idx="7">
                  <c:v>985-994</c:v>
                </c:pt>
              </c:strCache>
            </c:strRef>
          </c:cat>
          <c:val>
            <c:numRef>
              <c:f>Лист1!$B$29:$I$29</c:f>
              <c:numCache>
                <c:formatCode>General</c:formatCode>
                <c:ptCount val="8"/>
                <c:pt idx="0">
                  <c:v>3.85</c:v>
                </c:pt>
                <c:pt idx="2">
                  <c:v>1.92</c:v>
                </c:pt>
                <c:pt idx="3">
                  <c:v>1.92</c:v>
                </c:pt>
                <c:pt idx="6">
                  <c:v>5.77</c:v>
                </c:pt>
                <c:pt idx="7">
                  <c:v>7.69</c:v>
                </c:pt>
              </c:numCache>
            </c:numRef>
          </c:val>
          <c:extLst>
            <c:ext xmlns:c16="http://schemas.microsoft.com/office/drawing/2014/chart" uri="{C3380CC4-5D6E-409C-BE32-E72D297353CC}">
              <c16:uniqueId val="{00000000-8405-4119-87C1-2F2FB837186F}"/>
            </c:ext>
          </c:extLst>
        </c:ser>
        <c:ser>
          <c:idx val="1"/>
          <c:order val="1"/>
          <c:tx>
            <c:strRef>
              <c:f>Лист1!$A$30</c:f>
              <c:strCache>
                <c:ptCount val="1"/>
                <c:pt idx="0">
                  <c:v>Зияриды</c:v>
                </c:pt>
              </c:strCache>
            </c:strRef>
          </c:tx>
          <c:spPr>
            <a:solidFill>
              <a:srgbClr val="000000"/>
            </a:solidFill>
            <a:ln w="12704">
              <a:solidFill>
                <a:srgbClr val="000000"/>
              </a:solidFill>
              <a:prstDash val="solid"/>
            </a:ln>
          </c:spPr>
          <c:invertIfNegative val="0"/>
          <c:cat>
            <c:strRef>
              <c:f>Лист1!$B$28:$I$28</c:f>
              <c:strCache>
                <c:ptCount val="8"/>
                <c:pt idx="0">
                  <c:v>615-924</c:v>
                </c:pt>
                <c:pt idx="1">
                  <c:v>925-934</c:v>
                </c:pt>
                <c:pt idx="2">
                  <c:v>935-944</c:v>
                </c:pt>
                <c:pt idx="3">
                  <c:v>945-954</c:v>
                </c:pt>
                <c:pt idx="4">
                  <c:v>955-964</c:v>
                </c:pt>
                <c:pt idx="5">
                  <c:v>965-974</c:v>
                </c:pt>
                <c:pt idx="6">
                  <c:v>975-984</c:v>
                </c:pt>
                <c:pt idx="7">
                  <c:v>985-994</c:v>
                </c:pt>
              </c:strCache>
            </c:strRef>
          </c:cat>
          <c:val>
            <c:numRef>
              <c:f>Лист1!$B$30:$I$30</c:f>
              <c:numCache>
                <c:formatCode>General</c:formatCode>
                <c:ptCount val="8"/>
                <c:pt idx="5">
                  <c:v>1.92</c:v>
                </c:pt>
                <c:pt idx="6">
                  <c:v>3.85</c:v>
                </c:pt>
              </c:numCache>
            </c:numRef>
          </c:val>
          <c:extLst>
            <c:ext xmlns:c16="http://schemas.microsoft.com/office/drawing/2014/chart" uri="{C3380CC4-5D6E-409C-BE32-E72D297353CC}">
              <c16:uniqueId val="{00000001-8405-4119-87C1-2F2FB837186F}"/>
            </c:ext>
          </c:extLst>
        </c:ser>
        <c:ser>
          <c:idx val="2"/>
          <c:order val="2"/>
          <c:tx>
            <c:strRef>
              <c:f>Лист1!$A$31</c:f>
              <c:strCache>
                <c:ptCount val="1"/>
                <c:pt idx="0">
                  <c:v>Бувыейхиды</c:v>
                </c:pt>
              </c:strCache>
            </c:strRef>
          </c:tx>
          <c:spPr>
            <a:solidFill>
              <a:srgbClr val="C0C0C0"/>
            </a:solidFill>
            <a:ln w="12704">
              <a:solidFill>
                <a:srgbClr val="000000"/>
              </a:solidFill>
              <a:prstDash val="solid"/>
            </a:ln>
          </c:spPr>
          <c:invertIfNegative val="0"/>
          <c:cat>
            <c:strRef>
              <c:f>Лист1!$B$28:$I$28</c:f>
              <c:strCache>
                <c:ptCount val="8"/>
                <c:pt idx="0">
                  <c:v>615-924</c:v>
                </c:pt>
                <c:pt idx="1">
                  <c:v>925-934</c:v>
                </c:pt>
                <c:pt idx="2">
                  <c:v>935-944</c:v>
                </c:pt>
                <c:pt idx="3">
                  <c:v>945-954</c:v>
                </c:pt>
                <c:pt idx="4">
                  <c:v>955-964</c:v>
                </c:pt>
                <c:pt idx="5">
                  <c:v>965-974</c:v>
                </c:pt>
                <c:pt idx="6">
                  <c:v>975-984</c:v>
                </c:pt>
                <c:pt idx="7">
                  <c:v>985-994</c:v>
                </c:pt>
              </c:strCache>
            </c:strRef>
          </c:cat>
          <c:val>
            <c:numRef>
              <c:f>Лист1!$B$31:$I$31</c:f>
              <c:numCache>
                <c:formatCode>General</c:formatCode>
                <c:ptCount val="8"/>
                <c:pt idx="6">
                  <c:v>28.85</c:v>
                </c:pt>
                <c:pt idx="7">
                  <c:v>44.23</c:v>
                </c:pt>
              </c:numCache>
            </c:numRef>
          </c:val>
          <c:extLst>
            <c:ext xmlns:c16="http://schemas.microsoft.com/office/drawing/2014/chart" uri="{C3380CC4-5D6E-409C-BE32-E72D297353CC}">
              <c16:uniqueId val="{00000002-8405-4119-87C1-2F2FB837186F}"/>
            </c:ext>
          </c:extLst>
        </c:ser>
        <c:dLbls>
          <c:showLegendKey val="0"/>
          <c:showVal val="0"/>
          <c:showCatName val="0"/>
          <c:showSerName val="0"/>
          <c:showPercent val="0"/>
          <c:showBubbleSize val="0"/>
        </c:dLbls>
        <c:gapWidth val="150"/>
        <c:gapDepth val="0"/>
        <c:shape val="box"/>
        <c:axId val="2032652800"/>
        <c:axId val="1"/>
        <c:axId val="0"/>
      </c:bar3DChart>
      <c:catAx>
        <c:axId val="2032652800"/>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2"/>
        <c:tickMarkSkip val="1"/>
        <c:noMultiLvlLbl val="0"/>
      </c:catAx>
      <c:valAx>
        <c:axId val="1"/>
        <c:scaling>
          <c:orientation val="minMax"/>
        </c:scaling>
        <c:delete val="0"/>
        <c:axPos val="l"/>
        <c:majorGridlines>
          <c:spPr>
            <a:ln w="3176">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ru-RU"/>
                  <a:t>%%</a:t>
                </a:r>
              </a:p>
            </c:rich>
          </c:tx>
          <c:layout>
            <c:manualLayout>
              <c:xMode val="edge"/>
              <c:yMode val="edge"/>
              <c:x val="5.7441253263707574E-2"/>
              <c:y val="0.49609375"/>
            </c:manualLayout>
          </c:layout>
          <c:overlay val="0"/>
          <c:spPr>
            <a:noFill/>
            <a:ln w="25409">
              <a:noFill/>
            </a:ln>
          </c:spPr>
        </c:title>
        <c:numFmt formatCode="General" sourceLinked="1"/>
        <c:majorTickMark val="out"/>
        <c:minorTickMark val="none"/>
        <c:tickLblPos val="nextTo"/>
        <c:spPr>
          <a:ln w="3176">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032652800"/>
        <c:crosses val="autoZero"/>
        <c:crossBetween val="between"/>
      </c:valAx>
      <c:spPr>
        <a:noFill/>
        <a:ln w="25409">
          <a:noFill/>
        </a:ln>
      </c:spPr>
    </c:plotArea>
    <c:legend>
      <c:legendPos val="r"/>
      <c:layout>
        <c:manualLayout>
          <c:xMode val="edge"/>
          <c:yMode val="edge"/>
          <c:x val="0.77023498694516968"/>
          <c:y val="0.484375"/>
          <c:w val="0.21932114882506529"/>
          <c:h val="0.2265625"/>
        </c:manualLayout>
      </c:layout>
      <c:overlay val="0"/>
      <c:spPr>
        <a:solidFill>
          <a:srgbClr val="FFFFFF"/>
        </a:solidFill>
        <a:ln w="25409">
          <a:noFill/>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5"/>
      <c:hPercent val="50"/>
      <c:rotY val="10"/>
      <c:depthPercent val="200"/>
      <c:rAngAx val="1"/>
    </c:view3D>
    <c:floor>
      <c:thickness val="0"/>
      <c:spPr>
        <a:no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0.1380952380952381"/>
          <c:y val="0.2107843137254902"/>
          <c:w val="0.61428571428571432"/>
          <c:h val="0.62254901960784315"/>
        </c:manualLayout>
      </c:layout>
      <c:bar3DChart>
        <c:barDir val="col"/>
        <c:grouping val="stacked"/>
        <c:varyColors val="0"/>
        <c:ser>
          <c:idx val="0"/>
          <c:order val="0"/>
          <c:tx>
            <c:strRef>
              <c:f>Sheet1!$A$4</c:f>
              <c:strCache>
                <c:ptCount val="1"/>
                <c:pt idx="0">
                  <c:v>Джурджан</c:v>
                </c:pt>
              </c:strCache>
            </c:strRef>
          </c:tx>
          <c:spPr>
            <a:solidFill>
              <a:srgbClr val="8080FF"/>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Sheet1!$B$4:$G$4</c:f>
              <c:numCache>
                <c:formatCode>General</c:formatCode>
                <c:ptCount val="6"/>
                <c:pt idx="2">
                  <c:v>3.94</c:v>
                </c:pt>
                <c:pt idx="4">
                  <c:v>2.63</c:v>
                </c:pt>
                <c:pt idx="5">
                  <c:v>34.200000000000003</c:v>
                </c:pt>
              </c:numCache>
            </c:numRef>
          </c:val>
          <c:extLst>
            <c:ext xmlns:c16="http://schemas.microsoft.com/office/drawing/2014/chart" uri="{C3380CC4-5D6E-409C-BE32-E72D297353CC}">
              <c16:uniqueId val="{00000000-4921-4F54-9BF2-B193FFD410B2}"/>
            </c:ext>
          </c:extLst>
        </c:ser>
        <c:ser>
          <c:idx val="1"/>
          <c:order val="1"/>
          <c:tx>
            <c:strRef>
              <c:f>Sheet1!$A$5</c:f>
              <c:strCache>
                <c:ptCount val="1"/>
                <c:pt idx="0">
                  <c:v>Амуль</c:v>
                </c:pt>
              </c:strCache>
            </c:strRef>
          </c:tx>
          <c:spPr>
            <a:solidFill>
              <a:srgbClr val="802060"/>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Sheet1!$B$5:$G$5</c:f>
              <c:numCache>
                <c:formatCode>General</c:formatCode>
                <c:ptCount val="6"/>
                <c:pt idx="0">
                  <c:v>1.31</c:v>
                </c:pt>
                <c:pt idx="4">
                  <c:v>2.63</c:v>
                </c:pt>
              </c:numCache>
            </c:numRef>
          </c:val>
          <c:extLst>
            <c:ext xmlns:c16="http://schemas.microsoft.com/office/drawing/2014/chart" uri="{C3380CC4-5D6E-409C-BE32-E72D297353CC}">
              <c16:uniqueId val="{00000001-4921-4F54-9BF2-B193FFD410B2}"/>
            </c:ext>
          </c:extLst>
        </c:ser>
        <c:ser>
          <c:idx val="2"/>
          <c:order val="2"/>
          <c:tx>
            <c:strRef>
              <c:f>Sheet1!$A$6</c:f>
              <c:strCache>
                <c:ptCount val="1"/>
                <c:pt idx="0">
                  <c:v>Мухамедия</c:v>
                </c:pt>
              </c:strCache>
            </c:strRef>
          </c:tx>
          <c:spPr>
            <a:solidFill>
              <a:srgbClr val="FFFFC0"/>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Sheet1!$B$6:$G$6</c:f>
              <c:numCache>
                <c:formatCode>General</c:formatCode>
                <c:ptCount val="6"/>
                <c:pt idx="4">
                  <c:v>2.63</c:v>
                </c:pt>
              </c:numCache>
            </c:numRef>
          </c:val>
          <c:extLst>
            <c:ext xmlns:c16="http://schemas.microsoft.com/office/drawing/2014/chart" uri="{C3380CC4-5D6E-409C-BE32-E72D297353CC}">
              <c16:uniqueId val="{00000002-4921-4F54-9BF2-B193FFD410B2}"/>
            </c:ext>
          </c:extLst>
        </c:ser>
        <c:ser>
          <c:idx val="3"/>
          <c:order val="3"/>
          <c:tx>
            <c:strRef>
              <c:f>Sheet1!$A$7</c:f>
              <c:strCache>
                <c:ptCount val="1"/>
                <c:pt idx="0">
                  <c:v>Исфахан</c:v>
                </c:pt>
              </c:strCache>
            </c:strRef>
          </c:tx>
          <c:spPr>
            <a:solidFill>
              <a:srgbClr val="A0E0E0"/>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Sheet1!$B$7:$G$7</c:f>
              <c:numCache>
                <c:formatCode>General</c:formatCode>
                <c:ptCount val="6"/>
                <c:pt idx="5">
                  <c:v>5.25</c:v>
                </c:pt>
              </c:numCache>
            </c:numRef>
          </c:val>
          <c:extLst>
            <c:ext xmlns:c16="http://schemas.microsoft.com/office/drawing/2014/chart" uri="{C3380CC4-5D6E-409C-BE32-E72D297353CC}">
              <c16:uniqueId val="{00000003-4921-4F54-9BF2-B193FFD410B2}"/>
            </c:ext>
          </c:extLst>
        </c:ser>
        <c:ser>
          <c:idx val="4"/>
          <c:order val="4"/>
          <c:tx>
            <c:strRef>
              <c:f>Sheet1!$A$8</c:f>
              <c:strCache>
                <c:ptCount val="1"/>
                <c:pt idx="0">
                  <c:v>Мезейдиды</c:v>
                </c:pt>
              </c:strCache>
            </c:strRef>
          </c:tx>
          <c:spPr>
            <a:solidFill>
              <a:srgbClr val="600080"/>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Sheet1!$B$8:$G$8</c:f>
              <c:numCache>
                <c:formatCode>General</c:formatCode>
                <c:ptCount val="6"/>
                <c:pt idx="4">
                  <c:v>3.94</c:v>
                </c:pt>
              </c:numCache>
            </c:numRef>
          </c:val>
          <c:extLst>
            <c:ext xmlns:c16="http://schemas.microsoft.com/office/drawing/2014/chart" uri="{C3380CC4-5D6E-409C-BE32-E72D297353CC}">
              <c16:uniqueId val="{00000004-4921-4F54-9BF2-B193FFD410B2}"/>
            </c:ext>
          </c:extLst>
        </c:ser>
        <c:ser>
          <c:idx val="5"/>
          <c:order val="5"/>
          <c:tx>
            <c:strRef>
              <c:f>Sheet1!$A$9</c:f>
              <c:strCache>
                <c:ptCount val="1"/>
                <c:pt idx="0">
                  <c:v>Ниса</c:v>
                </c:pt>
              </c:strCache>
            </c:strRef>
          </c:tx>
          <c:spPr>
            <a:solidFill>
              <a:srgbClr val="FF0000"/>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Sheet1!$B$9:$G$9</c:f>
              <c:numCache>
                <c:formatCode>General</c:formatCode>
                <c:ptCount val="6"/>
                <c:pt idx="5">
                  <c:v>2.63</c:v>
                </c:pt>
              </c:numCache>
            </c:numRef>
          </c:val>
          <c:extLst>
            <c:ext xmlns:c16="http://schemas.microsoft.com/office/drawing/2014/chart" uri="{C3380CC4-5D6E-409C-BE32-E72D297353CC}">
              <c16:uniqueId val="{00000005-4921-4F54-9BF2-B193FFD410B2}"/>
            </c:ext>
          </c:extLst>
        </c:ser>
        <c:ser>
          <c:idx val="6"/>
          <c:order val="6"/>
          <c:tx>
            <c:strRef>
              <c:f>Sheet1!$A$10</c:f>
              <c:strCache>
                <c:ptCount val="1"/>
                <c:pt idx="0">
                  <c:v>Мерв (?)</c:v>
                </c:pt>
              </c:strCache>
            </c:strRef>
          </c:tx>
          <c:spPr>
            <a:solidFill>
              <a:srgbClr val="0080C0"/>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Sheet1!$B$10:$G$10</c:f>
              <c:numCache>
                <c:formatCode>General</c:formatCode>
                <c:ptCount val="6"/>
                <c:pt idx="5">
                  <c:v>10.53</c:v>
                </c:pt>
              </c:numCache>
            </c:numRef>
          </c:val>
          <c:extLst>
            <c:ext xmlns:c16="http://schemas.microsoft.com/office/drawing/2014/chart" uri="{C3380CC4-5D6E-409C-BE32-E72D297353CC}">
              <c16:uniqueId val="{00000006-4921-4F54-9BF2-B193FFD410B2}"/>
            </c:ext>
          </c:extLst>
        </c:ser>
        <c:ser>
          <c:idx val="7"/>
          <c:order val="7"/>
          <c:tx>
            <c:strRef>
              <c:f>Sheet1!$A$11</c:f>
              <c:strCache>
                <c:ptCount val="1"/>
                <c:pt idx="0">
                  <c:v>Ферава</c:v>
                </c:pt>
              </c:strCache>
            </c:strRef>
          </c:tx>
          <c:spPr>
            <a:solidFill>
              <a:srgbClr val="C0C0FF"/>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Sheet1!$B$11:$G$11</c:f>
              <c:numCache>
                <c:formatCode>General</c:formatCode>
                <c:ptCount val="6"/>
                <c:pt idx="5">
                  <c:v>19.73</c:v>
                </c:pt>
              </c:numCache>
            </c:numRef>
          </c:val>
          <c:extLst>
            <c:ext xmlns:c16="http://schemas.microsoft.com/office/drawing/2014/chart" uri="{C3380CC4-5D6E-409C-BE32-E72D297353CC}">
              <c16:uniqueId val="{00000007-4921-4F54-9BF2-B193FFD410B2}"/>
            </c:ext>
          </c:extLst>
        </c:ser>
        <c:ser>
          <c:idx val="8"/>
          <c:order val="8"/>
          <c:tx>
            <c:strRef>
              <c:f>Sheet1!$A$12</c:f>
              <c:strCache>
                <c:ptCount val="1"/>
                <c:pt idx="0">
                  <c:v>Хорезм</c:v>
                </c:pt>
              </c:strCache>
            </c:strRef>
          </c:tx>
          <c:spPr>
            <a:solidFill>
              <a:srgbClr val="000080"/>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Sheet1!$B$12:$G$12</c:f>
              <c:numCache>
                <c:formatCode>General</c:formatCode>
                <c:ptCount val="6"/>
                <c:pt idx="5">
                  <c:v>3.94</c:v>
                </c:pt>
              </c:numCache>
            </c:numRef>
          </c:val>
          <c:extLst>
            <c:ext xmlns:c16="http://schemas.microsoft.com/office/drawing/2014/chart" uri="{C3380CC4-5D6E-409C-BE32-E72D297353CC}">
              <c16:uniqueId val="{00000008-4921-4F54-9BF2-B193FFD410B2}"/>
            </c:ext>
          </c:extLst>
        </c:ser>
        <c:ser>
          <c:idx val="9"/>
          <c:order val="9"/>
          <c:tx>
            <c:strRef>
              <c:f>Sheet1!$A$13</c:f>
              <c:strCache>
                <c:ptCount val="1"/>
                <c:pt idx="0">
                  <c:v>Нисабур</c:v>
                </c:pt>
              </c:strCache>
            </c:strRef>
          </c:tx>
          <c:spPr>
            <a:solidFill>
              <a:srgbClr val="FF00FF"/>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Sheet1!$B$13:$G$13</c:f>
              <c:numCache>
                <c:formatCode>General</c:formatCode>
                <c:ptCount val="6"/>
                <c:pt idx="5">
                  <c:v>3.94</c:v>
                </c:pt>
              </c:numCache>
            </c:numRef>
          </c:val>
          <c:extLst>
            <c:ext xmlns:c16="http://schemas.microsoft.com/office/drawing/2014/chart" uri="{C3380CC4-5D6E-409C-BE32-E72D297353CC}">
              <c16:uniqueId val="{00000009-4921-4F54-9BF2-B193FFD410B2}"/>
            </c:ext>
          </c:extLst>
        </c:ser>
        <c:ser>
          <c:idx val="10"/>
          <c:order val="10"/>
          <c:tx>
            <c:strRef>
              <c:f>Sheet1!$A$14</c:f>
              <c:strCache>
                <c:ptCount val="1"/>
                <c:pt idx="0">
                  <c:v>Илеки</c:v>
                </c:pt>
              </c:strCache>
            </c:strRef>
          </c:tx>
          <c:spPr>
            <a:solidFill>
              <a:srgbClr val="FFFFFF"/>
            </a:solidFill>
            <a:ln w="12700">
              <a:solidFill>
                <a:srgbClr val="000000"/>
              </a:solidFill>
              <a:prstDash val="solid"/>
            </a:ln>
          </c:spPr>
          <c:invertIfNegative val="0"/>
          <c:cat>
            <c:numRef>
              <c:f>Sheet1!$B$3:$G$3</c:f>
              <c:numCache>
                <c:formatCode>General</c:formatCode>
                <c:ptCount val="6"/>
                <c:pt idx="0">
                  <c:v>959</c:v>
                </c:pt>
                <c:pt idx="1">
                  <c:v>969</c:v>
                </c:pt>
                <c:pt idx="2">
                  <c:v>979</c:v>
                </c:pt>
                <c:pt idx="3">
                  <c:v>989</c:v>
                </c:pt>
                <c:pt idx="4">
                  <c:v>999</c:v>
                </c:pt>
                <c:pt idx="5">
                  <c:v>1009</c:v>
                </c:pt>
              </c:numCache>
            </c:numRef>
          </c:cat>
          <c:val>
            <c:numRef>
              <c:f>Sheet1!$B$14:$G$14</c:f>
              <c:numCache>
                <c:formatCode>General</c:formatCode>
                <c:ptCount val="6"/>
                <c:pt idx="5">
                  <c:v>2.63</c:v>
                </c:pt>
              </c:numCache>
            </c:numRef>
          </c:val>
          <c:extLst>
            <c:ext xmlns:c16="http://schemas.microsoft.com/office/drawing/2014/chart" uri="{C3380CC4-5D6E-409C-BE32-E72D297353CC}">
              <c16:uniqueId val="{0000000A-4921-4F54-9BF2-B193FFD410B2}"/>
            </c:ext>
          </c:extLst>
        </c:ser>
        <c:dLbls>
          <c:showLegendKey val="0"/>
          <c:showVal val="0"/>
          <c:showCatName val="0"/>
          <c:showSerName val="0"/>
          <c:showPercent val="0"/>
          <c:showBubbleSize val="0"/>
        </c:dLbls>
        <c:gapWidth val="150"/>
        <c:gapDepth val="0"/>
        <c:shape val="box"/>
        <c:axId val="2035625232"/>
        <c:axId val="1"/>
        <c:axId val="0"/>
      </c:bar3DChart>
      <c:catAx>
        <c:axId val="20356252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ru-RU"/>
                  <a:t>%%</a:t>
                </a:r>
              </a:p>
            </c:rich>
          </c:tx>
          <c:layout>
            <c:manualLayout>
              <c:xMode val="edge"/>
              <c:yMode val="edge"/>
              <c:x val="3.5714285714285712E-2"/>
              <c:y val="0.485294117647058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035625232"/>
        <c:crosses val="autoZero"/>
        <c:crossBetween val="between"/>
      </c:valAx>
      <c:spPr>
        <a:noFill/>
        <a:ln w="25400">
          <a:noFill/>
        </a:ln>
      </c:spPr>
    </c:plotArea>
    <c:legend>
      <c:legendPos val="r"/>
      <c:layout>
        <c:manualLayout>
          <c:xMode val="edge"/>
          <c:yMode val="edge"/>
          <c:x val="0.77857142857142858"/>
          <c:y val="0"/>
          <c:w val="0.21666666666666667"/>
          <c:h val="0.94607843137254899"/>
        </c:manualLayout>
      </c:layout>
      <c:overlay val="0"/>
      <c:spPr>
        <a:solidFill>
          <a:srgbClr val="FFFFFF"/>
        </a:solidFill>
        <a:ln w="25400">
          <a:noFill/>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hPercent val="93"/>
      <c:rotY val="10"/>
      <c:depthPercent val="20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4527027027027026"/>
          <c:y val="5.8558558558558557E-2"/>
          <c:w val="0.57432432432432434"/>
          <c:h val="0.77477477477477474"/>
        </c:manualLayout>
      </c:layout>
      <c:bar3DChart>
        <c:barDir val="col"/>
        <c:grouping val="stacked"/>
        <c:varyColors val="0"/>
        <c:ser>
          <c:idx val="0"/>
          <c:order val="0"/>
          <c:tx>
            <c:strRef>
              <c:f>Sheet2!$A$21</c:f>
              <c:strCache>
                <c:ptCount val="1"/>
                <c:pt idx="0">
                  <c:v>Саманиды</c:v>
                </c:pt>
              </c:strCache>
            </c:strRef>
          </c:tx>
          <c:spPr>
            <a:solidFill>
              <a:srgbClr val="C0C0C0"/>
            </a:solidFill>
            <a:ln w="12700">
              <a:solidFill>
                <a:srgbClr val="000000"/>
              </a:solidFill>
              <a:prstDash val="solid"/>
            </a:ln>
          </c:spPr>
          <c:invertIfNegative val="0"/>
          <c:cat>
            <c:strRef>
              <c:f>Sheet2!$B$20:$H$20</c:f>
              <c:strCache>
                <c:ptCount val="7"/>
                <c:pt idx="0">
                  <c:v>до929</c:v>
                </c:pt>
                <c:pt idx="1">
                  <c:v>939</c:v>
                </c:pt>
                <c:pt idx="2">
                  <c:v>949</c:v>
                </c:pt>
                <c:pt idx="3">
                  <c:v>959</c:v>
                </c:pt>
                <c:pt idx="4">
                  <c:v>969</c:v>
                </c:pt>
                <c:pt idx="5">
                  <c:v>979</c:v>
                </c:pt>
                <c:pt idx="6">
                  <c:v>991</c:v>
                </c:pt>
              </c:strCache>
            </c:strRef>
          </c:cat>
          <c:val>
            <c:numRef>
              <c:f>Sheet2!$B$21:$H$21</c:f>
              <c:numCache>
                <c:formatCode>General</c:formatCode>
                <c:ptCount val="7"/>
                <c:pt idx="0">
                  <c:v>12.65</c:v>
                </c:pt>
                <c:pt idx="1">
                  <c:v>1.27</c:v>
                </c:pt>
                <c:pt idx="2">
                  <c:v>1.27</c:v>
                </c:pt>
                <c:pt idx="3">
                  <c:v>1.27</c:v>
                </c:pt>
                <c:pt idx="4">
                  <c:v>2.5299999999999998</c:v>
                </c:pt>
                <c:pt idx="5">
                  <c:v>6.23</c:v>
                </c:pt>
                <c:pt idx="6">
                  <c:v>73.41</c:v>
                </c:pt>
              </c:numCache>
            </c:numRef>
          </c:val>
          <c:extLst>
            <c:ext xmlns:c16="http://schemas.microsoft.com/office/drawing/2014/chart" uri="{C3380CC4-5D6E-409C-BE32-E72D297353CC}">
              <c16:uniqueId val="{00000000-A7F5-4F46-B934-2385F04098D7}"/>
            </c:ext>
          </c:extLst>
        </c:ser>
        <c:ser>
          <c:idx val="1"/>
          <c:order val="1"/>
          <c:tx>
            <c:strRef>
              <c:f>Sheet2!$A$22</c:f>
              <c:strCache>
                <c:ptCount val="1"/>
                <c:pt idx="0">
                  <c:v>Караханиды</c:v>
                </c:pt>
              </c:strCache>
            </c:strRef>
          </c:tx>
          <c:spPr>
            <a:solidFill>
              <a:srgbClr val="000000"/>
            </a:solidFill>
            <a:ln w="12700">
              <a:solidFill>
                <a:srgbClr val="000000"/>
              </a:solidFill>
              <a:prstDash val="solid"/>
            </a:ln>
          </c:spPr>
          <c:invertIfNegative val="0"/>
          <c:cat>
            <c:strRef>
              <c:f>Sheet2!$B$20:$H$20</c:f>
              <c:strCache>
                <c:ptCount val="7"/>
                <c:pt idx="0">
                  <c:v>до929</c:v>
                </c:pt>
                <c:pt idx="1">
                  <c:v>939</c:v>
                </c:pt>
                <c:pt idx="2">
                  <c:v>949</c:v>
                </c:pt>
                <c:pt idx="3">
                  <c:v>959</c:v>
                </c:pt>
                <c:pt idx="4">
                  <c:v>969</c:v>
                </c:pt>
                <c:pt idx="5">
                  <c:v>979</c:v>
                </c:pt>
                <c:pt idx="6">
                  <c:v>991</c:v>
                </c:pt>
              </c:strCache>
            </c:strRef>
          </c:cat>
          <c:val>
            <c:numRef>
              <c:f>Sheet2!$B$22:$H$22</c:f>
              <c:numCache>
                <c:formatCode>General</c:formatCode>
                <c:ptCount val="7"/>
                <c:pt idx="6">
                  <c:v>2.6</c:v>
                </c:pt>
              </c:numCache>
            </c:numRef>
          </c:val>
          <c:extLst>
            <c:ext xmlns:c16="http://schemas.microsoft.com/office/drawing/2014/chart" uri="{C3380CC4-5D6E-409C-BE32-E72D297353CC}">
              <c16:uniqueId val="{00000001-A7F5-4F46-B934-2385F04098D7}"/>
            </c:ext>
          </c:extLst>
        </c:ser>
        <c:dLbls>
          <c:showLegendKey val="0"/>
          <c:showVal val="0"/>
          <c:showCatName val="0"/>
          <c:showSerName val="0"/>
          <c:showPercent val="0"/>
          <c:showBubbleSize val="0"/>
        </c:dLbls>
        <c:gapWidth val="150"/>
        <c:gapDepth val="0"/>
        <c:shape val="box"/>
        <c:axId val="2035855168"/>
        <c:axId val="1"/>
        <c:axId val="0"/>
      </c:bar3DChart>
      <c:catAx>
        <c:axId val="203585516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2"/>
        <c:tickMarkSkip val="1"/>
        <c:noMultiLvlLbl val="0"/>
      </c:catAx>
      <c:valAx>
        <c:axId val="1"/>
        <c:scaling>
          <c:orientation val="minMax"/>
        </c:scaling>
        <c:delete val="0"/>
        <c:axPos val="l"/>
        <c:majorGridlines>
          <c:spPr>
            <a:ln w="3175">
              <a:solidFill>
                <a:srgbClr val="000000"/>
              </a:solidFill>
              <a:prstDash val="solid"/>
            </a:ln>
          </c:spPr>
        </c:majorGridlines>
        <c:title>
          <c:tx>
            <c:rich>
              <a:bodyPr rot="0" vert="horz"/>
              <a:lstStyle/>
              <a:p>
                <a:pPr algn="ctr">
                  <a:defRPr sz="800" b="1" i="0" u="none" strike="noStrike" baseline="0">
                    <a:solidFill>
                      <a:srgbClr val="000000"/>
                    </a:solidFill>
                    <a:latin typeface="Arial Cyr"/>
                    <a:ea typeface="Arial Cyr"/>
                    <a:cs typeface="Arial Cyr"/>
                  </a:defRPr>
                </a:pPr>
                <a:r>
                  <a:rPr lang="ru-RU"/>
                  <a:t>%%</a:t>
                </a:r>
              </a:p>
            </c:rich>
          </c:tx>
          <c:layout>
            <c:manualLayout>
              <c:xMode val="edge"/>
              <c:yMode val="edge"/>
              <c:x val="3.3783783783783786E-3"/>
              <c:y val="0.41891891891891891"/>
            </c:manualLayout>
          </c:layout>
          <c:overlay val="0"/>
          <c:spPr>
            <a:noFill/>
            <a:ln w="25401">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035855168"/>
        <c:crosses val="autoZero"/>
        <c:crossBetween val="between"/>
      </c:valAx>
      <c:spPr>
        <a:noFill/>
        <a:ln w="25401">
          <a:noFill/>
        </a:ln>
      </c:spPr>
    </c:plotArea>
    <c:legend>
      <c:legendPos val="r"/>
      <c:layout>
        <c:manualLayout>
          <c:xMode val="edge"/>
          <c:yMode val="edge"/>
          <c:x val="0.72635135135135132"/>
          <c:y val="0.51351351351351349"/>
          <c:w val="0.27364864864864863"/>
          <c:h val="0.17567567567567569"/>
        </c:manualLayout>
      </c:layout>
      <c:overlay val="0"/>
      <c:spPr>
        <a:solidFill>
          <a:srgbClr val="FFFFFF"/>
        </a:solidFill>
        <a:ln w="25401">
          <a:noFill/>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2"/>
      <c:rotY val="20"/>
      <c:depthPercent val="2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000000"/>
          </a:solidFill>
          <a:prstDash val="solid"/>
        </a:ln>
      </c:spPr>
    </c:sideWall>
    <c:backWall>
      <c:thickness val="0"/>
      <c:spPr>
        <a:solidFill>
          <a:srgbClr val="FFFFFF"/>
        </a:solidFill>
        <a:ln w="12700">
          <a:solidFill>
            <a:srgbClr val="000000"/>
          </a:solidFill>
          <a:prstDash val="solid"/>
        </a:ln>
      </c:spPr>
    </c:backWall>
    <c:plotArea>
      <c:layout>
        <c:manualLayout>
          <c:layoutTarget val="inner"/>
          <c:xMode val="edge"/>
          <c:yMode val="edge"/>
          <c:x val="0.23484848484848486"/>
          <c:y val="0.16908212560386474"/>
          <c:w val="0.54292929292929293"/>
          <c:h val="0.48309178743961351"/>
        </c:manualLayout>
      </c:layout>
      <c:bar3DChart>
        <c:barDir val="col"/>
        <c:grouping val="stacked"/>
        <c:varyColors val="0"/>
        <c:ser>
          <c:idx val="0"/>
          <c:order val="0"/>
          <c:tx>
            <c:strRef>
              <c:f>Sheet5!$A$17</c:f>
              <c:strCache>
                <c:ptCount val="1"/>
                <c:pt idx="0">
                  <c:v>Бухара </c:v>
                </c:pt>
              </c:strCache>
            </c:strRef>
          </c:tx>
          <c:spPr>
            <a:solidFill>
              <a:srgbClr val="8080FF"/>
            </a:solidFill>
            <a:ln w="12693">
              <a:solidFill>
                <a:srgbClr val="000000"/>
              </a:solidFill>
              <a:prstDash val="solid"/>
            </a:ln>
          </c:spPr>
          <c:invertIfNegative val="0"/>
          <c:cat>
            <c:strRef>
              <c:f>Sheet5!$B$16:$F$16</c:f>
              <c:strCache>
                <c:ptCount val="5"/>
                <c:pt idx="0">
                  <c:v>930-939</c:v>
                </c:pt>
                <c:pt idx="1">
                  <c:v>940-949</c:v>
                </c:pt>
                <c:pt idx="2">
                  <c:v>950-959</c:v>
                </c:pt>
                <c:pt idx="3">
                  <c:v>960-969</c:v>
                </c:pt>
                <c:pt idx="4">
                  <c:v>970-979</c:v>
                </c:pt>
              </c:strCache>
            </c:strRef>
          </c:cat>
          <c:val>
            <c:numRef>
              <c:f>Sheet5!$B$17:$F$17</c:f>
              <c:numCache>
                <c:formatCode>General</c:formatCode>
                <c:ptCount val="5"/>
                <c:pt idx="3">
                  <c:v>1.0900000000000001</c:v>
                </c:pt>
                <c:pt idx="4">
                  <c:v>4.3899999999999997</c:v>
                </c:pt>
              </c:numCache>
            </c:numRef>
          </c:val>
          <c:extLst>
            <c:ext xmlns:c16="http://schemas.microsoft.com/office/drawing/2014/chart" uri="{C3380CC4-5D6E-409C-BE32-E72D297353CC}">
              <c16:uniqueId val="{00000000-2D61-4E2E-9D9E-87D458B51EF0}"/>
            </c:ext>
          </c:extLst>
        </c:ser>
        <c:ser>
          <c:idx val="1"/>
          <c:order val="1"/>
          <c:tx>
            <c:strRef>
              <c:f>Sheet5!$A$18</c:f>
              <c:strCache>
                <c:ptCount val="1"/>
                <c:pt idx="0">
                  <c:v>Самарканд </c:v>
                </c:pt>
              </c:strCache>
            </c:strRef>
          </c:tx>
          <c:spPr>
            <a:solidFill>
              <a:srgbClr val="802060"/>
            </a:solidFill>
            <a:ln w="12693">
              <a:solidFill>
                <a:srgbClr val="000000"/>
              </a:solidFill>
              <a:prstDash val="solid"/>
            </a:ln>
          </c:spPr>
          <c:invertIfNegative val="0"/>
          <c:cat>
            <c:strRef>
              <c:f>Sheet5!$B$16:$F$16</c:f>
              <c:strCache>
                <c:ptCount val="5"/>
                <c:pt idx="0">
                  <c:v>930-939</c:v>
                </c:pt>
                <c:pt idx="1">
                  <c:v>940-949</c:v>
                </c:pt>
                <c:pt idx="2">
                  <c:v>950-959</c:v>
                </c:pt>
                <c:pt idx="3">
                  <c:v>960-969</c:v>
                </c:pt>
                <c:pt idx="4">
                  <c:v>970-979</c:v>
                </c:pt>
              </c:strCache>
            </c:strRef>
          </c:cat>
          <c:val>
            <c:numRef>
              <c:f>Sheet5!$B$18:$F$18</c:f>
              <c:numCache>
                <c:formatCode>General</c:formatCode>
                <c:ptCount val="5"/>
                <c:pt idx="0">
                  <c:v>2.19</c:v>
                </c:pt>
                <c:pt idx="4">
                  <c:v>27.47</c:v>
                </c:pt>
              </c:numCache>
            </c:numRef>
          </c:val>
          <c:extLst>
            <c:ext xmlns:c16="http://schemas.microsoft.com/office/drawing/2014/chart" uri="{C3380CC4-5D6E-409C-BE32-E72D297353CC}">
              <c16:uniqueId val="{00000001-2D61-4E2E-9D9E-87D458B51EF0}"/>
            </c:ext>
          </c:extLst>
        </c:ser>
        <c:ser>
          <c:idx val="2"/>
          <c:order val="2"/>
          <c:tx>
            <c:strRef>
              <c:f>Sheet5!$A$19</c:f>
              <c:strCache>
                <c:ptCount val="1"/>
                <c:pt idx="0">
                  <c:v>аш-Шаш </c:v>
                </c:pt>
              </c:strCache>
            </c:strRef>
          </c:tx>
          <c:spPr>
            <a:solidFill>
              <a:srgbClr val="FFFFC0"/>
            </a:solidFill>
            <a:ln w="12693">
              <a:solidFill>
                <a:srgbClr val="000000"/>
              </a:solidFill>
              <a:prstDash val="solid"/>
            </a:ln>
          </c:spPr>
          <c:invertIfNegative val="0"/>
          <c:cat>
            <c:strRef>
              <c:f>Sheet5!$B$16:$F$16</c:f>
              <c:strCache>
                <c:ptCount val="5"/>
                <c:pt idx="0">
                  <c:v>930-939</c:v>
                </c:pt>
                <c:pt idx="1">
                  <c:v>940-949</c:v>
                </c:pt>
                <c:pt idx="2">
                  <c:v>950-959</c:v>
                </c:pt>
                <c:pt idx="3">
                  <c:v>960-969</c:v>
                </c:pt>
                <c:pt idx="4">
                  <c:v>970-979</c:v>
                </c:pt>
              </c:strCache>
            </c:strRef>
          </c:cat>
          <c:val>
            <c:numRef>
              <c:f>Sheet5!$B$19:$F$19</c:f>
              <c:numCache>
                <c:formatCode>General</c:formatCode>
                <c:ptCount val="5"/>
                <c:pt idx="4">
                  <c:v>64.83</c:v>
                </c:pt>
              </c:numCache>
            </c:numRef>
          </c:val>
          <c:extLst>
            <c:ext xmlns:c16="http://schemas.microsoft.com/office/drawing/2014/chart" uri="{C3380CC4-5D6E-409C-BE32-E72D297353CC}">
              <c16:uniqueId val="{00000002-2D61-4E2E-9D9E-87D458B51EF0}"/>
            </c:ext>
          </c:extLst>
        </c:ser>
        <c:dLbls>
          <c:showLegendKey val="0"/>
          <c:showVal val="0"/>
          <c:showCatName val="0"/>
          <c:showSerName val="0"/>
          <c:showPercent val="0"/>
          <c:showBubbleSize val="0"/>
        </c:dLbls>
        <c:gapWidth val="150"/>
        <c:gapDepth val="0"/>
        <c:shape val="box"/>
        <c:axId val="2103953664"/>
        <c:axId val="1"/>
        <c:axId val="0"/>
      </c:bar3DChart>
      <c:catAx>
        <c:axId val="2103953664"/>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73">
              <a:solidFill>
                <a:srgbClr val="000000"/>
              </a:solidFill>
              <a:prstDash val="solid"/>
            </a:ln>
          </c:spPr>
        </c:majorGridlines>
        <c:title>
          <c:tx>
            <c:rich>
              <a:bodyPr/>
              <a:lstStyle/>
              <a:p>
                <a:pPr>
                  <a:defRPr sz="800" b="1" i="0" u="none" strike="noStrike" baseline="0">
                    <a:solidFill>
                      <a:srgbClr val="000000"/>
                    </a:solidFill>
                    <a:latin typeface="Arial Cyr"/>
                    <a:ea typeface="Arial Cyr"/>
                    <a:cs typeface="Arial Cyr"/>
                  </a:defRPr>
                </a:pPr>
                <a:r>
                  <a:rPr lang="ru-RU"/>
                  <a:t>%%</a:t>
                </a:r>
              </a:p>
            </c:rich>
          </c:tx>
          <c:layout>
            <c:manualLayout>
              <c:xMode val="edge"/>
              <c:yMode val="edge"/>
              <c:x val="0.16414141414141414"/>
              <c:y val="0.39613526570048307"/>
            </c:manualLayout>
          </c:layout>
          <c:overlay val="0"/>
          <c:spPr>
            <a:noFill/>
            <a:ln w="25386">
              <a:noFill/>
            </a:ln>
          </c:spPr>
        </c:title>
        <c:numFmt formatCode="General" sourceLinked="1"/>
        <c:majorTickMark val="out"/>
        <c:minorTickMark val="none"/>
        <c:tickLblPos val="nextTo"/>
        <c:spPr>
          <a:ln w="3173">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2103953664"/>
        <c:crosses val="autoZero"/>
        <c:crossBetween val="between"/>
      </c:valAx>
      <c:spPr>
        <a:noFill/>
        <a:ln w="25386">
          <a:noFill/>
        </a:ln>
      </c:spPr>
    </c:plotArea>
    <c:legend>
      <c:legendPos val="b"/>
      <c:layout>
        <c:manualLayout>
          <c:xMode val="edge"/>
          <c:yMode val="edge"/>
          <c:x val="8.3333333333333329E-2"/>
          <c:y val="0.893719806763285"/>
          <c:w val="0.76515151515151514"/>
          <c:h val="9.6618357487922704E-2"/>
        </c:manualLayout>
      </c:layout>
      <c:overlay val="0"/>
      <c:spPr>
        <a:solidFill>
          <a:srgbClr val="FFFFFF"/>
        </a:solidFill>
        <a:ln w="25386">
          <a:noFill/>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3">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63" b="0" i="0" u="none" strike="noStrike" baseline="0">
                <a:solidFill>
                  <a:srgbClr val="000000"/>
                </a:solidFill>
                <a:latin typeface="Arial Cyr"/>
                <a:ea typeface="Arial Cyr"/>
                <a:cs typeface="Arial Cyr"/>
              </a:defRPr>
            </a:pPr>
            <a:r>
              <a:rPr lang="ru-RU"/>
              <a:t>Рис.4. Суварский клад. Хронолого-эмиссионное распределение.</a:t>
            </a:r>
          </a:p>
        </c:rich>
      </c:tx>
      <c:layout>
        <c:manualLayout>
          <c:xMode val="edge"/>
          <c:yMode val="edge"/>
          <c:x val="0.16088328075709779"/>
          <c:y val="1.9607843137254902E-2"/>
        </c:manualLayout>
      </c:layout>
      <c:overlay val="0"/>
      <c:spPr>
        <a:noFill/>
        <a:ln w="26989">
          <a:noFill/>
        </a:ln>
      </c:spPr>
    </c:title>
    <c:autoTitleDeleted val="0"/>
    <c:view3D>
      <c:rotX val="5"/>
      <c:hPercent val="62"/>
      <c:rotY val="10"/>
      <c:depthPercent val="2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5457413249211358"/>
          <c:y val="0.28431372549019607"/>
          <c:w val="0.55520504731861198"/>
          <c:h val="0.5490196078431373"/>
        </c:manualLayout>
      </c:layout>
      <c:bar3DChart>
        <c:barDir val="col"/>
        <c:grouping val="stacked"/>
        <c:varyColors val="0"/>
        <c:ser>
          <c:idx val="0"/>
          <c:order val="0"/>
          <c:tx>
            <c:strRef>
              <c:f>Sheet2!$A$14</c:f>
              <c:strCache>
                <c:ptCount val="1"/>
                <c:pt idx="0">
                  <c:v>Амул</c:v>
                </c:pt>
              </c:strCache>
            </c:strRef>
          </c:tx>
          <c:spPr>
            <a:solidFill>
              <a:srgbClr val="8080FF"/>
            </a:solidFill>
            <a:ln w="13495">
              <a:solidFill>
                <a:srgbClr val="000000"/>
              </a:solidFill>
              <a:prstDash val="solid"/>
            </a:ln>
          </c:spPr>
          <c:invertIfNegative val="0"/>
          <c:cat>
            <c:strRef>
              <c:f>Sheet2!$B$13:$D$13</c:f>
              <c:strCache>
                <c:ptCount val="3"/>
                <c:pt idx="0">
                  <c:v>960-969</c:v>
                </c:pt>
                <c:pt idx="1">
                  <c:v>970-979</c:v>
                </c:pt>
                <c:pt idx="2">
                  <c:v>980-989</c:v>
                </c:pt>
              </c:strCache>
            </c:strRef>
          </c:cat>
          <c:val>
            <c:numRef>
              <c:f>Sheet2!$B$14:$D$14</c:f>
              <c:numCache>
                <c:formatCode>General</c:formatCode>
                <c:ptCount val="3"/>
                <c:pt idx="0">
                  <c:v>9.09</c:v>
                </c:pt>
              </c:numCache>
            </c:numRef>
          </c:val>
          <c:extLst>
            <c:ext xmlns:c16="http://schemas.microsoft.com/office/drawing/2014/chart" uri="{C3380CC4-5D6E-409C-BE32-E72D297353CC}">
              <c16:uniqueId val="{00000000-1564-42C8-8FDD-347533496CEF}"/>
            </c:ext>
          </c:extLst>
        </c:ser>
        <c:ser>
          <c:idx val="1"/>
          <c:order val="1"/>
          <c:tx>
            <c:strRef>
              <c:f>Sheet2!$A$15</c:f>
              <c:strCache>
                <c:ptCount val="1"/>
                <c:pt idx="0">
                  <c:v>Сариййа</c:v>
                </c:pt>
              </c:strCache>
            </c:strRef>
          </c:tx>
          <c:spPr>
            <a:solidFill>
              <a:srgbClr val="802060"/>
            </a:solidFill>
            <a:ln w="13495">
              <a:solidFill>
                <a:srgbClr val="000000"/>
              </a:solidFill>
              <a:prstDash val="solid"/>
            </a:ln>
          </c:spPr>
          <c:invertIfNegative val="0"/>
          <c:cat>
            <c:strRef>
              <c:f>Sheet2!$B$13:$D$13</c:f>
              <c:strCache>
                <c:ptCount val="3"/>
                <c:pt idx="0">
                  <c:v>960-969</c:v>
                </c:pt>
                <c:pt idx="1">
                  <c:v>970-979</c:v>
                </c:pt>
                <c:pt idx="2">
                  <c:v>980-989</c:v>
                </c:pt>
              </c:strCache>
            </c:strRef>
          </c:cat>
          <c:val>
            <c:numRef>
              <c:f>Sheet2!$B$15:$D$15</c:f>
              <c:numCache>
                <c:formatCode>General</c:formatCode>
                <c:ptCount val="3"/>
                <c:pt idx="1">
                  <c:v>9.09</c:v>
                </c:pt>
              </c:numCache>
            </c:numRef>
          </c:val>
          <c:extLst>
            <c:ext xmlns:c16="http://schemas.microsoft.com/office/drawing/2014/chart" uri="{C3380CC4-5D6E-409C-BE32-E72D297353CC}">
              <c16:uniqueId val="{00000001-1564-42C8-8FDD-347533496CEF}"/>
            </c:ext>
          </c:extLst>
        </c:ser>
        <c:ser>
          <c:idx val="2"/>
          <c:order val="2"/>
          <c:tx>
            <c:strRef>
              <c:f>Sheet2!$A$16</c:f>
              <c:strCache>
                <c:ptCount val="1"/>
                <c:pt idx="0">
                  <c:v>Джурджан</c:v>
                </c:pt>
              </c:strCache>
            </c:strRef>
          </c:tx>
          <c:spPr>
            <a:solidFill>
              <a:srgbClr val="FFFFC0"/>
            </a:solidFill>
            <a:ln w="13495">
              <a:solidFill>
                <a:srgbClr val="000000"/>
              </a:solidFill>
              <a:prstDash val="solid"/>
            </a:ln>
          </c:spPr>
          <c:invertIfNegative val="0"/>
          <c:cat>
            <c:strRef>
              <c:f>Sheet2!$B$13:$D$13</c:f>
              <c:strCache>
                <c:ptCount val="3"/>
                <c:pt idx="0">
                  <c:v>960-969</c:v>
                </c:pt>
                <c:pt idx="1">
                  <c:v>970-979</c:v>
                </c:pt>
                <c:pt idx="2">
                  <c:v>980-989</c:v>
                </c:pt>
              </c:strCache>
            </c:strRef>
          </c:cat>
          <c:val>
            <c:numRef>
              <c:f>Sheet2!$B$16:$D$16</c:f>
              <c:numCache>
                <c:formatCode>General</c:formatCode>
                <c:ptCount val="3"/>
                <c:pt idx="2">
                  <c:v>18.18</c:v>
                </c:pt>
              </c:numCache>
            </c:numRef>
          </c:val>
          <c:extLst>
            <c:ext xmlns:c16="http://schemas.microsoft.com/office/drawing/2014/chart" uri="{C3380CC4-5D6E-409C-BE32-E72D297353CC}">
              <c16:uniqueId val="{00000002-1564-42C8-8FDD-347533496CEF}"/>
            </c:ext>
          </c:extLst>
        </c:ser>
        <c:ser>
          <c:idx val="3"/>
          <c:order val="3"/>
          <c:tx>
            <c:strRef>
              <c:f>Sheet2!$A$17</c:f>
              <c:strCache>
                <c:ptCount val="1"/>
                <c:pt idx="0">
                  <c:v>Нисабур</c:v>
                </c:pt>
              </c:strCache>
            </c:strRef>
          </c:tx>
          <c:spPr>
            <a:solidFill>
              <a:srgbClr val="A0E0E0"/>
            </a:solidFill>
            <a:ln w="13495">
              <a:solidFill>
                <a:srgbClr val="000000"/>
              </a:solidFill>
              <a:prstDash val="solid"/>
            </a:ln>
          </c:spPr>
          <c:invertIfNegative val="0"/>
          <c:cat>
            <c:strRef>
              <c:f>Sheet2!$B$13:$D$13</c:f>
              <c:strCache>
                <c:ptCount val="3"/>
                <c:pt idx="0">
                  <c:v>960-969</c:v>
                </c:pt>
                <c:pt idx="1">
                  <c:v>970-979</c:v>
                </c:pt>
                <c:pt idx="2">
                  <c:v>980-989</c:v>
                </c:pt>
              </c:strCache>
            </c:strRef>
          </c:cat>
          <c:val>
            <c:numRef>
              <c:f>Sheet2!$B$17:$D$17</c:f>
              <c:numCache>
                <c:formatCode>General</c:formatCode>
                <c:ptCount val="3"/>
                <c:pt idx="2">
                  <c:v>18.18</c:v>
                </c:pt>
              </c:numCache>
            </c:numRef>
          </c:val>
          <c:extLst>
            <c:ext xmlns:c16="http://schemas.microsoft.com/office/drawing/2014/chart" uri="{C3380CC4-5D6E-409C-BE32-E72D297353CC}">
              <c16:uniqueId val="{00000003-1564-42C8-8FDD-347533496CEF}"/>
            </c:ext>
          </c:extLst>
        </c:ser>
        <c:ser>
          <c:idx val="4"/>
          <c:order val="4"/>
          <c:tx>
            <c:strRef>
              <c:f>Sheet2!$A$18</c:f>
              <c:strCache>
                <c:ptCount val="1"/>
                <c:pt idx="0">
                  <c:v>Самарканд</c:v>
                </c:pt>
              </c:strCache>
            </c:strRef>
          </c:tx>
          <c:spPr>
            <a:solidFill>
              <a:srgbClr val="600080"/>
            </a:solidFill>
            <a:ln w="13495">
              <a:solidFill>
                <a:srgbClr val="000000"/>
              </a:solidFill>
              <a:prstDash val="solid"/>
            </a:ln>
          </c:spPr>
          <c:invertIfNegative val="0"/>
          <c:cat>
            <c:strRef>
              <c:f>Sheet2!$B$13:$D$13</c:f>
              <c:strCache>
                <c:ptCount val="3"/>
                <c:pt idx="0">
                  <c:v>960-969</c:v>
                </c:pt>
                <c:pt idx="1">
                  <c:v>970-979</c:v>
                </c:pt>
                <c:pt idx="2">
                  <c:v>980-989</c:v>
                </c:pt>
              </c:strCache>
            </c:strRef>
          </c:cat>
          <c:val>
            <c:numRef>
              <c:f>Sheet2!$B$18:$D$18</c:f>
              <c:numCache>
                <c:formatCode>General</c:formatCode>
                <c:ptCount val="3"/>
                <c:pt idx="2">
                  <c:v>18.18</c:v>
                </c:pt>
              </c:numCache>
            </c:numRef>
          </c:val>
          <c:extLst>
            <c:ext xmlns:c16="http://schemas.microsoft.com/office/drawing/2014/chart" uri="{C3380CC4-5D6E-409C-BE32-E72D297353CC}">
              <c16:uniqueId val="{00000004-1564-42C8-8FDD-347533496CEF}"/>
            </c:ext>
          </c:extLst>
        </c:ser>
        <c:ser>
          <c:idx val="5"/>
          <c:order val="5"/>
          <c:tx>
            <c:strRef>
              <c:f>Sheet2!$A$19</c:f>
              <c:strCache>
                <c:ptCount val="1"/>
                <c:pt idx="0">
                  <c:v>Бухара</c:v>
                </c:pt>
              </c:strCache>
            </c:strRef>
          </c:tx>
          <c:spPr>
            <a:solidFill>
              <a:srgbClr val="FF8080"/>
            </a:solidFill>
            <a:ln w="13495">
              <a:solidFill>
                <a:srgbClr val="000000"/>
              </a:solidFill>
              <a:prstDash val="solid"/>
            </a:ln>
          </c:spPr>
          <c:invertIfNegative val="0"/>
          <c:cat>
            <c:strRef>
              <c:f>Sheet2!$B$13:$D$13</c:f>
              <c:strCache>
                <c:ptCount val="3"/>
                <c:pt idx="0">
                  <c:v>960-969</c:v>
                </c:pt>
                <c:pt idx="1">
                  <c:v>970-979</c:v>
                </c:pt>
                <c:pt idx="2">
                  <c:v>980-989</c:v>
                </c:pt>
              </c:strCache>
            </c:strRef>
          </c:cat>
          <c:val>
            <c:numRef>
              <c:f>Sheet2!$B$19:$D$19</c:f>
              <c:numCache>
                <c:formatCode>General</c:formatCode>
                <c:ptCount val="3"/>
                <c:pt idx="2">
                  <c:v>18.18</c:v>
                </c:pt>
              </c:numCache>
            </c:numRef>
          </c:val>
          <c:extLst>
            <c:ext xmlns:c16="http://schemas.microsoft.com/office/drawing/2014/chart" uri="{C3380CC4-5D6E-409C-BE32-E72D297353CC}">
              <c16:uniqueId val="{00000005-1564-42C8-8FDD-347533496CEF}"/>
            </c:ext>
          </c:extLst>
        </c:ser>
        <c:ser>
          <c:idx val="6"/>
          <c:order val="6"/>
          <c:tx>
            <c:strRef>
              <c:f>Sheet2!$A$20</c:f>
              <c:strCache>
                <c:ptCount val="1"/>
                <c:pt idx="0">
                  <c:v>Шаш</c:v>
                </c:pt>
              </c:strCache>
            </c:strRef>
          </c:tx>
          <c:spPr>
            <a:solidFill>
              <a:srgbClr val="0080C0"/>
            </a:solidFill>
            <a:ln w="13495">
              <a:solidFill>
                <a:srgbClr val="000000"/>
              </a:solidFill>
              <a:prstDash val="solid"/>
            </a:ln>
          </c:spPr>
          <c:invertIfNegative val="0"/>
          <c:cat>
            <c:strRef>
              <c:f>Sheet2!$B$13:$D$13</c:f>
              <c:strCache>
                <c:ptCount val="3"/>
                <c:pt idx="0">
                  <c:v>960-969</c:v>
                </c:pt>
                <c:pt idx="1">
                  <c:v>970-979</c:v>
                </c:pt>
                <c:pt idx="2">
                  <c:v>980-989</c:v>
                </c:pt>
              </c:strCache>
            </c:strRef>
          </c:cat>
          <c:val>
            <c:numRef>
              <c:f>Sheet2!$B$20:$D$20</c:f>
              <c:numCache>
                <c:formatCode>General</c:formatCode>
                <c:ptCount val="3"/>
                <c:pt idx="0">
                  <c:v>9.09</c:v>
                </c:pt>
              </c:numCache>
            </c:numRef>
          </c:val>
          <c:extLst>
            <c:ext xmlns:c16="http://schemas.microsoft.com/office/drawing/2014/chart" uri="{C3380CC4-5D6E-409C-BE32-E72D297353CC}">
              <c16:uniqueId val="{00000006-1564-42C8-8FDD-347533496CEF}"/>
            </c:ext>
          </c:extLst>
        </c:ser>
        <c:dLbls>
          <c:showLegendKey val="0"/>
          <c:showVal val="0"/>
          <c:showCatName val="0"/>
          <c:showSerName val="0"/>
          <c:showPercent val="0"/>
          <c:showBubbleSize val="0"/>
        </c:dLbls>
        <c:gapWidth val="150"/>
        <c:gapDepth val="0"/>
        <c:shape val="box"/>
        <c:axId val="2108072256"/>
        <c:axId val="1"/>
        <c:axId val="0"/>
      </c:bar3DChart>
      <c:catAx>
        <c:axId val="2108072256"/>
        <c:scaling>
          <c:orientation val="minMax"/>
        </c:scaling>
        <c:delete val="0"/>
        <c:axPos val="b"/>
        <c:numFmt formatCode="General" sourceLinked="1"/>
        <c:majorTickMark val="out"/>
        <c:minorTickMark val="none"/>
        <c:tickLblPos val="low"/>
        <c:spPr>
          <a:ln w="3374">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1"/>
        <c:tickMarkSkip val="1"/>
        <c:noMultiLvlLbl val="0"/>
      </c:catAx>
      <c:valAx>
        <c:axId val="1"/>
        <c:scaling>
          <c:orientation val="minMax"/>
        </c:scaling>
        <c:delete val="0"/>
        <c:axPos val="l"/>
        <c:majorGridlines>
          <c:spPr>
            <a:ln w="3374">
              <a:solidFill>
                <a:srgbClr val="000000"/>
              </a:solidFill>
              <a:prstDash val="solid"/>
            </a:ln>
          </c:spPr>
        </c:majorGridlines>
        <c:title>
          <c:tx>
            <c:rich>
              <a:bodyPr/>
              <a:lstStyle/>
              <a:p>
                <a:pPr>
                  <a:defRPr sz="850" b="1" i="0" u="none" strike="noStrike" baseline="0">
                    <a:solidFill>
                      <a:srgbClr val="000000"/>
                    </a:solidFill>
                    <a:latin typeface="Arial Cyr"/>
                    <a:ea typeface="Arial Cyr"/>
                    <a:cs typeface="Arial Cyr"/>
                  </a:defRPr>
                </a:pPr>
                <a:r>
                  <a:rPr lang="ru-RU"/>
                  <a:t>%%</a:t>
                </a:r>
              </a:p>
            </c:rich>
          </c:tx>
          <c:layout>
            <c:manualLayout>
              <c:xMode val="edge"/>
              <c:yMode val="edge"/>
              <c:x val="2.8391167192429023E-2"/>
              <c:y val="0.52450980392156865"/>
            </c:manualLayout>
          </c:layout>
          <c:overlay val="0"/>
          <c:spPr>
            <a:noFill/>
            <a:ln w="26989">
              <a:noFill/>
            </a:ln>
          </c:spPr>
        </c:title>
        <c:numFmt formatCode="General" sourceLinked="1"/>
        <c:majorTickMark val="out"/>
        <c:minorTickMark val="none"/>
        <c:tickLblPos val="nextTo"/>
        <c:spPr>
          <a:ln w="3374">
            <a:solidFill>
              <a:srgbClr val="000000"/>
            </a:solidFill>
            <a:prstDash val="solid"/>
          </a:ln>
        </c:spPr>
        <c:txPr>
          <a:bodyPr rot="0" vert="horz"/>
          <a:lstStyle/>
          <a:p>
            <a:pPr>
              <a:defRPr sz="850" b="0" i="0" u="none" strike="noStrike" baseline="0">
                <a:solidFill>
                  <a:srgbClr val="000000"/>
                </a:solidFill>
                <a:latin typeface="Arial Cyr"/>
                <a:ea typeface="Arial Cyr"/>
                <a:cs typeface="Arial Cyr"/>
              </a:defRPr>
            </a:pPr>
            <a:endParaRPr lang="ru-RU"/>
          </a:p>
        </c:txPr>
        <c:crossAx val="2108072256"/>
        <c:crosses val="autoZero"/>
        <c:crossBetween val="between"/>
      </c:valAx>
      <c:spPr>
        <a:noFill/>
        <a:ln w="26989">
          <a:noFill/>
        </a:ln>
      </c:spPr>
    </c:plotArea>
    <c:legend>
      <c:legendPos val="r"/>
      <c:layout>
        <c:manualLayout>
          <c:xMode val="edge"/>
          <c:yMode val="edge"/>
          <c:x val="0.75394321766561512"/>
          <c:y val="0.28431372549019607"/>
          <c:w val="0.2334384858044164"/>
          <c:h val="0.65686274509803921"/>
        </c:manualLayout>
      </c:layout>
      <c:overlay val="0"/>
      <c:spPr>
        <a:solidFill>
          <a:srgbClr val="FFFFFF"/>
        </a:solidFill>
        <a:ln w="26989">
          <a:noFill/>
        </a:ln>
      </c:spPr>
      <c:txPr>
        <a:bodyPr/>
        <a:lstStyle/>
        <a:p>
          <a:pPr>
            <a:defRPr sz="781"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374">
      <a:solidFill>
        <a:srgbClr val="000000"/>
      </a:solidFill>
      <a:prstDash val="solid"/>
    </a:ln>
  </c:spPr>
  <c:txPr>
    <a:bodyPr/>
    <a:lstStyle/>
    <a:p>
      <a:pPr>
        <a:defRPr sz="85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64"/>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7549668874172186"/>
          <c:y val="0.13008130081300814"/>
          <c:w val="0.79139072847682124"/>
          <c:h val="0.56504065040650409"/>
        </c:manualLayout>
      </c:layout>
      <c:bar3DChart>
        <c:barDir val="col"/>
        <c:grouping val="stacked"/>
        <c:varyColors val="0"/>
        <c:ser>
          <c:idx val="0"/>
          <c:order val="0"/>
          <c:tx>
            <c:strRef>
              <c:f>Sheet4!$A$32</c:f>
              <c:strCache>
                <c:ptCount val="1"/>
                <c:pt idx="0">
                  <c:v>Саманиды</c:v>
                </c:pt>
              </c:strCache>
            </c:strRef>
          </c:tx>
          <c:spPr>
            <a:solidFill>
              <a:srgbClr val="8080FF"/>
            </a:solidFill>
            <a:ln w="12711">
              <a:solidFill>
                <a:srgbClr val="000000"/>
              </a:solidFill>
              <a:prstDash val="solid"/>
            </a:ln>
          </c:spPr>
          <c:invertIfNegative val="0"/>
          <c:cat>
            <c:strRef>
              <c:f>Sheet4!$B$31:$I$31</c:f>
              <c:strCache>
                <c:ptCount val="8"/>
                <c:pt idx="0">
                  <c:v>900-909</c:v>
                </c:pt>
                <c:pt idx="1">
                  <c:v>910-919</c:v>
                </c:pt>
                <c:pt idx="2">
                  <c:v>920-929</c:v>
                </c:pt>
                <c:pt idx="3">
                  <c:v>930-939</c:v>
                </c:pt>
                <c:pt idx="4">
                  <c:v>940-949</c:v>
                </c:pt>
                <c:pt idx="5">
                  <c:v>950-959</c:v>
                </c:pt>
                <c:pt idx="6">
                  <c:v>960-969</c:v>
                </c:pt>
                <c:pt idx="7">
                  <c:v>970-979</c:v>
                </c:pt>
              </c:strCache>
            </c:strRef>
          </c:cat>
          <c:val>
            <c:numRef>
              <c:f>Sheet4!$B$32:$I$32</c:f>
              <c:numCache>
                <c:formatCode>General</c:formatCode>
                <c:ptCount val="8"/>
                <c:pt idx="0">
                  <c:v>6.82</c:v>
                </c:pt>
                <c:pt idx="1">
                  <c:v>4.54</c:v>
                </c:pt>
                <c:pt idx="2">
                  <c:v>11.36</c:v>
                </c:pt>
                <c:pt idx="3">
                  <c:v>6.82</c:v>
                </c:pt>
                <c:pt idx="4">
                  <c:v>2.27</c:v>
                </c:pt>
                <c:pt idx="5">
                  <c:v>22.73</c:v>
                </c:pt>
                <c:pt idx="6">
                  <c:v>11.36</c:v>
                </c:pt>
                <c:pt idx="7">
                  <c:v>6.82</c:v>
                </c:pt>
              </c:numCache>
            </c:numRef>
          </c:val>
          <c:extLst>
            <c:ext xmlns:c16="http://schemas.microsoft.com/office/drawing/2014/chart" uri="{C3380CC4-5D6E-409C-BE32-E72D297353CC}">
              <c16:uniqueId val="{00000000-4725-425C-B73C-FE195003EF6B}"/>
            </c:ext>
          </c:extLst>
        </c:ser>
        <c:ser>
          <c:idx val="1"/>
          <c:order val="1"/>
          <c:tx>
            <c:strRef>
              <c:f>Sheet4!$A$33</c:f>
              <c:strCache>
                <c:ptCount val="1"/>
                <c:pt idx="0">
                  <c:v>Буиды</c:v>
                </c:pt>
              </c:strCache>
            </c:strRef>
          </c:tx>
          <c:spPr>
            <a:solidFill>
              <a:srgbClr val="802060"/>
            </a:solidFill>
            <a:ln w="12711">
              <a:solidFill>
                <a:srgbClr val="000000"/>
              </a:solidFill>
              <a:prstDash val="solid"/>
            </a:ln>
          </c:spPr>
          <c:invertIfNegative val="0"/>
          <c:cat>
            <c:strRef>
              <c:f>Sheet4!$B$31:$I$31</c:f>
              <c:strCache>
                <c:ptCount val="8"/>
                <c:pt idx="0">
                  <c:v>900-909</c:v>
                </c:pt>
                <c:pt idx="1">
                  <c:v>910-919</c:v>
                </c:pt>
                <c:pt idx="2">
                  <c:v>920-929</c:v>
                </c:pt>
                <c:pt idx="3">
                  <c:v>930-939</c:v>
                </c:pt>
                <c:pt idx="4">
                  <c:v>940-949</c:v>
                </c:pt>
                <c:pt idx="5">
                  <c:v>950-959</c:v>
                </c:pt>
                <c:pt idx="6">
                  <c:v>960-969</c:v>
                </c:pt>
                <c:pt idx="7">
                  <c:v>970-979</c:v>
                </c:pt>
              </c:strCache>
            </c:strRef>
          </c:cat>
          <c:val>
            <c:numRef>
              <c:f>Sheet4!$B$33:$I$33</c:f>
              <c:numCache>
                <c:formatCode>General</c:formatCode>
                <c:ptCount val="8"/>
                <c:pt idx="3">
                  <c:v>2.27</c:v>
                </c:pt>
                <c:pt idx="5">
                  <c:v>2.27</c:v>
                </c:pt>
                <c:pt idx="6">
                  <c:v>6.82</c:v>
                </c:pt>
                <c:pt idx="7">
                  <c:v>11.36</c:v>
                </c:pt>
              </c:numCache>
            </c:numRef>
          </c:val>
          <c:extLst>
            <c:ext xmlns:c16="http://schemas.microsoft.com/office/drawing/2014/chart" uri="{C3380CC4-5D6E-409C-BE32-E72D297353CC}">
              <c16:uniqueId val="{00000001-4725-425C-B73C-FE195003EF6B}"/>
            </c:ext>
          </c:extLst>
        </c:ser>
        <c:ser>
          <c:idx val="2"/>
          <c:order val="2"/>
          <c:tx>
            <c:strRef>
              <c:f>Sheet4!$A$34</c:f>
              <c:strCache>
                <c:ptCount val="1"/>
                <c:pt idx="0">
                  <c:v>Прочие</c:v>
                </c:pt>
              </c:strCache>
            </c:strRef>
          </c:tx>
          <c:spPr>
            <a:solidFill>
              <a:srgbClr val="FFFFC0"/>
            </a:solidFill>
            <a:ln w="12711">
              <a:solidFill>
                <a:srgbClr val="000000"/>
              </a:solidFill>
              <a:prstDash val="solid"/>
            </a:ln>
          </c:spPr>
          <c:invertIfNegative val="0"/>
          <c:cat>
            <c:strRef>
              <c:f>Sheet4!$B$31:$I$31</c:f>
              <c:strCache>
                <c:ptCount val="8"/>
                <c:pt idx="0">
                  <c:v>900-909</c:v>
                </c:pt>
                <c:pt idx="1">
                  <c:v>910-919</c:v>
                </c:pt>
                <c:pt idx="2">
                  <c:v>920-929</c:v>
                </c:pt>
                <c:pt idx="3">
                  <c:v>930-939</c:v>
                </c:pt>
                <c:pt idx="4">
                  <c:v>940-949</c:v>
                </c:pt>
                <c:pt idx="5">
                  <c:v>950-959</c:v>
                </c:pt>
                <c:pt idx="6">
                  <c:v>960-969</c:v>
                </c:pt>
                <c:pt idx="7">
                  <c:v>970-979</c:v>
                </c:pt>
              </c:strCache>
            </c:strRef>
          </c:cat>
          <c:val>
            <c:numRef>
              <c:f>Sheet4!$B$34:$I$34</c:f>
              <c:numCache>
                <c:formatCode>General</c:formatCode>
                <c:ptCount val="8"/>
                <c:pt idx="2">
                  <c:v>2.27</c:v>
                </c:pt>
                <c:pt idx="7">
                  <c:v>2.27</c:v>
                </c:pt>
              </c:numCache>
            </c:numRef>
          </c:val>
          <c:extLst>
            <c:ext xmlns:c16="http://schemas.microsoft.com/office/drawing/2014/chart" uri="{C3380CC4-5D6E-409C-BE32-E72D297353CC}">
              <c16:uniqueId val="{00000002-4725-425C-B73C-FE195003EF6B}"/>
            </c:ext>
          </c:extLst>
        </c:ser>
        <c:dLbls>
          <c:showLegendKey val="0"/>
          <c:showVal val="0"/>
          <c:showCatName val="0"/>
          <c:showSerName val="0"/>
          <c:showPercent val="0"/>
          <c:showBubbleSize val="0"/>
        </c:dLbls>
        <c:gapWidth val="150"/>
        <c:shape val="box"/>
        <c:axId val="2103965664"/>
        <c:axId val="1"/>
        <c:axId val="0"/>
      </c:bar3DChart>
      <c:catAx>
        <c:axId val="2103965664"/>
        <c:scaling>
          <c:orientation val="minMax"/>
        </c:scaling>
        <c:delete val="0"/>
        <c:axPos val="b"/>
        <c:numFmt formatCode="General" sourceLinked="1"/>
        <c:majorTickMark val="out"/>
        <c:minorTickMark val="none"/>
        <c:tickLblPos val="low"/>
        <c:spPr>
          <a:ln w="3178">
            <a:solidFill>
              <a:srgbClr val="000000"/>
            </a:solidFill>
            <a:prstDash val="solid"/>
          </a:ln>
        </c:spPr>
        <c:txPr>
          <a:bodyPr rot="0" vert="horz"/>
          <a:lstStyle/>
          <a:p>
            <a:pPr>
              <a:defRPr sz="826" b="0" i="0" u="none" strike="noStrike" baseline="0">
                <a:solidFill>
                  <a:srgbClr val="000000"/>
                </a:solidFill>
                <a:latin typeface="Arial Cyr"/>
                <a:ea typeface="Arial Cyr"/>
                <a:cs typeface="Arial Cyr"/>
              </a:defRPr>
            </a:pPr>
            <a:endParaRPr lang="ru-RU"/>
          </a:p>
        </c:txPr>
        <c:crossAx val="1"/>
        <c:crosses val="autoZero"/>
        <c:auto val="1"/>
        <c:lblAlgn val="ctr"/>
        <c:lblOffset val="100"/>
        <c:tickLblSkip val="2"/>
        <c:tickMarkSkip val="1"/>
        <c:noMultiLvlLbl val="0"/>
      </c:catAx>
      <c:valAx>
        <c:axId val="1"/>
        <c:scaling>
          <c:orientation val="minMax"/>
        </c:scaling>
        <c:delete val="0"/>
        <c:axPos val="l"/>
        <c:majorGridlines>
          <c:spPr>
            <a:ln w="3178">
              <a:solidFill>
                <a:srgbClr val="000000"/>
              </a:solidFill>
              <a:prstDash val="solid"/>
            </a:ln>
          </c:spPr>
        </c:majorGridlines>
        <c:title>
          <c:tx>
            <c:rich>
              <a:bodyPr rot="0" vert="horz"/>
              <a:lstStyle/>
              <a:p>
                <a:pPr algn="ctr">
                  <a:defRPr sz="826" b="1" i="0" u="none" strike="noStrike" baseline="0">
                    <a:solidFill>
                      <a:srgbClr val="000000"/>
                    </a:solidFill>
                    <a:latin typeface="Arial Cyr"/>
                    <a:ea typeface="Arial Cyr"/>
                    <a:cs typeface="Arial Cyr"/>
                  </a:defRPr>
                </a:pPr>
                <a:r>
                  <a:rPr lang="ru-RU"/>
                  <a:t>%%</a:t>
                </a:r>
              </a:p>
            </c:rich>
          </c:tx>
          <c:layout>
            <c:manualLayout>
              <c:xMode val="edge"/>
              <c:yMode val="edge"/>
              <c:x val="7.9470198675496692E-2"/>
              <c:y val="0.38617886178861788"/>
            </c:manualLayout>
          </c:layout>
          <c:overlay val="0"/>
          <c:spPr>
            <a:noFill/>
            <a:ln w="25421">
              <a:noFill/>
            </a:ln>
          </c:spPr>
        </c:title>
        <c:numFmt formatCode="General" sourceLinked="1"/>
        <c:majorTickMark val="out"/>
        <c:minorTickMark val="none"/>
        <c:tickLblPos val="nextTo"/>
        <c:spPr>
          <a:ln w="3178">
            <a:solidFill>
              <a:srgbClr val="000000"/>
            </a:solidFill>
            <a:prstDash val="solid"/>
          </a:ln>
        </c:spPr>
        <c:txPr>
          <a:bodyPr rot="0" vert="horz"/>
          <a:lstStyle/>
          <a:p>
            <a:pPr>
              <a:defRPr sz="801" b="0" i="0" u="none" strike="noStrike" baseline="0">
                <a:solidFill>
                  <a:srgbClr val="000000"/>
                </a:solidFill>
                <a:latin typeface="Arial Cyr"/>
                <a:ea typeface="Arial Cyr"/>
                <a:cs typeface="Arial Cyr"/>
              </a:defRPr>
            </a:pPr>
            <a:endParaRPr lang="ru-RU"/>
          </a:p>
        </c:txPr>
        <c:crossAx val="2103965664"/>
        <c:crosses val="autoZero"/>
        <c:crossBetween val="between"/>
      </c:valAx>
      <c:spPr>
        <a:noFill/>
        <a:ln w="25421">
          <a:noFill/>
        </a:ln>
      </c:spPr>
    </c:plotArea>
    <c:legend>
      <c:legendPos val="b"/>
      <c:layout>
        <c:manualLayout>
          <c:xMode val="edge"/>
          <c:yMode val="edge"/>
          <c:x val="0.2119205298013245"/>
          <c:y val="0.89837398373983735"/>
          <c:w val="0.57284768211920534"/>
          <c:h val="8.943089430894309E-2"/>
        </c:manualLayout>
      </c:layout>
      <c:overlay val="0"/>
      <c:spPr>
        <a:solidFill>
          <a:srgbClr val="FFFFFF"/>
        </a:solidFill>
        <a:ln w="3178">
          <a:solidFill>
            <a:srgbClr val="000000"/>
          </a:solidFill>
          <a:prstDash val="solid"/>
        </a:ln>
      </c:spPr>
      <c:txPr>
        <a:bodyPr/>
        <a:lstStyle/>
        <a:p>
          <a:pPr>
            <a:defRPr sz="756"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8">
      <a:solidFill>
        <a:srgbClr val="000000"/>
      </a:solidFill>
      <a:prstDash val="solid"/>
    </a:ln>
    <a:effectLst>
      <a:outerShdw dist="35921" dir="2700000" algn="br">
        <a:srgbClr val="000000"/>
      </a:outerShdw>
    </a:effectLst>
  </c:spPr>
  <c:txPr>
    <a:bodyPr/>
    <a:lstStyle/>
    <a:p>
      <a:pPr>
        <a:defRPr sz="826"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38"/>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0.1718213058419244"/>
          <c:y val="0.12857142857142856"/>
          <c:w val="0.80756013745704469"/>
          <c:h val="0.4642857142857143"/>
        </c:manualLayout>
      </c:layout>
      <c:bar3DChart>
        <c:barDir val="col"/>
        <c:grouping val="stacked"/>
        <c:varyColors val="0"/>
        <c:ser>
          <c:idx val="0"/>
          <c:order val="0"/>
          <c:tx>
            <c:strRef>
              <c:f>Лист1!$A$16</c:f>
              <c:strCache>
                <c:ptCount val="1"/>
                <c:pt idx="0">
                  <c:v>Прочие</c:v>
                </c:pt>
              </c:strCache>
            </c:strRef>
          </c:tx>
          <c:spPr>
            <a:solidFill>
              <a:srgbClr val="8080FF"/>
            </a:solidFill>
            <a:ln w="13309">
              <a:solidFill>
                <a:srgbClr val="000000"/>
              </a:solidFill>
              <a:prstDash val="solid"/>
            </a:ln>
          </c:spPr>
          <c:invertIfNegative val="0"/>
          <c:dLbls>
            <c:spPr>
              <a:noFill/>
              <a:ln w="26618">
                <a:noFill/>
              </a:ln>
            </c:spPr>
            <c:txPr>
              <a:bodyPr wrap="square" lIns="38100" tIns="19050" rIns="38100" bIns="19050" anchor="ctr">
                <a:spAutoFit/>
              </a:bodyPr>
              <a:lstStyle/>
              <a:p>
                <a:pPr>
                  <a:defRPr sz="83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Лист1!$B$15:$D$15</c:f>
              <c:strCache>
                <c:ptCount val="3"/>
                <c:pt idx="0">
                  <c:v>до 284</c:v>
                </c:pt>
                <c:pt idx="1">
                  <c:v>285- 294/306</c:v>
                </c:pt>
                <c:pt idx="2">
                  <c:v>295-304/916</c:v>
                </c:pt>
              </c:strCache>
            </c:strRef>
          </c:cat>
          <c:val>
            <c:numRef>
              <c:f>Лист1!$B$16:$D$16</c:f>
              <c:numCache>
                <c:formatCode>General</c:formatCode>
                <c:ptCount val="3"/>
                <c:pt idx="1">
                  <c:v>1.75</c:v>
                </c:pt>
                <c:pt idx="2">
                  <c:v>1.75</c:v>
                </c:pt>
              </c:numCache>
            </c:numRef>
          </c:val>
          <c:extLst>
            <c:ext xmlns:c16="http://schemas.microsoft.com/office/drawing/2014/chart" uri="{C3380CC4-5D6E-409C-BE32-E72D297353CC}">
              <c16:uniqueId val="{00000000-2F54-4A2B-B56A-754326391773}"/>
            </c:ext>
          </c:extLst>
        </c:ser>
        <c:ser>
          <c:idx val="1"/>
          <c:order val="1"/>
          <c:tx>
            <c:strRef>
              <c:f>Лист1!$A$17</c:f>
              <c:strCache>
                <c:ptCount val="1"/>
                <c:pt idx="0">
                  <c:v>Саманиды</c:v>
                </c:pt>
              </c:strCache>
            </c:strRef>
          </c:tx>
          <c:spPr>
            <a:solidFill>
              <a:srgbClr val="00FF00"/>
            </a:solidFill>
            <a:ln w="13309">
              <a:solidFill>
                <a:srgbClr val="000000"/>
              </a:solidFill>
              <a:prstDash val="solid"/>
            </a:ln>
          </c:spPr>
          <c:invertIfNegative val="0"/>
          <c:dLbls>
            <c:spPr>
              <a:noFill/>
              <a:ln w="26618">
                <a:noFill/>
              </a:ln>
            </c:spPr>
            <c:txPr>
              <a:bodyPr wrap="square" lIns="38100" tIns="19050" rIns="38100" bIns="19050" anchor="ctr">
                <a:spAutoFit/>
              </a:bodyPr>
              <a:lstStyle/>
              <a:p>
                <a:pPr>
                  <a:defRPr sz="838"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Лист1!$B$15:$D$15</c:f>
              <c:strCache>
                <c:ptCount val="3"/>
                <c:pt idx="0">
                  <c:v>до 284</c:v>
                </c:pt>
                <c:pt idx="1">
                  <c:v>285- 294/306</c:v>
                </c:pt>
                <c:pt idx="2">
                  <c:v>295-304/916</c:v>
                </c:pt>
              </c:strCache>
            </c:strRef>
          </c:cat>
          <c:val>
            <c:numRef>
              <c:f>Лист1!$B$17:$D$17</c:f>
              <c:numCache>
                <c:formatCode>General</c:formatCode>
                <c:ptCount val="3"/>
                <c:pt idx="0">
                  <c:v>0.5</c:v>
                </c:pt>
                <c:pt idx="1">
                  <c:v>30.75</c:v>
                </c:pt>
                <c:pt idx="2">
                  <c:v>65.25</c:v>
                </c:pt>
              </c:numCache>
            </c:numRef>
          </c:val>
          <c:extLst>
            <c:ext xmlns:c16="http://schemas.microsoft.com/office/drawing/2014/chart" uri="{C3380CC4-5D6E-409C-BE32-E72D297353CC}">
              <c16:uniqueId val="{00000001-2F54-4A2B-B56A-754326391773}"/>
            </c:ext>
          </c:extLst>
        </c:ser>
        <c:dLbls>
          <c:showLegendKey val="0"/>
          <c:showVal val="1"/>
          <c:showCatName val="0"/>
          <c:showSerName val="0"/>
          <c:showPercent val="0"/>
          <c:showBubbleSize val="0"/>
        </c:dLbls>
        <c:gapWidth val="150"/>
        <c:shape val="box"/>
        <c:axId val="2103965184"/>
        <c:axId val="1"/>
        <c:axId val="0"/>
      </c:bar3DChart>
      <c:catAx>
        <c:axId val="2103965184"/>
        <c:scaling>
          <c:orientation val="minMax"/>
        </c:scaling>
        <c:delete val="0"/>
        <c:axPos val="b"/>
        <c:numFmt formatCode="General" sourceLinked="1"/>
        <c:majorTickMark val="out"/>
        <c:minorTickMark val="none"/>
        <c:tickLblPos val="low"/>
        <c:spPr>
          <a:ln w="3327">
            <a:solidFill>
              <a:srgbClr val="000000"/>
            </a:solidFill>
            <a:prstDash val="solid"/>
          </a:ln>
        </c:spPr>
        <c:txPr>
          <a:bodyPr rot="0" vert="horz"/>
          <a:lstStyle/>
          <a:p>
            <a:pPr>
              <a:defRPr sz="838" b="0" i="0" u="none" strike="noStrike" baseline="0">
                <a:solidFill>
                  <a:srgbClr val="000000"/>
                </a:solidFill>
                <a:latin typeface="Arial Cyr"/>
                <a:ea typeface="Arial Cyr"/>
                <a:cs typeface="Arial Cyr"/>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327">
              <a:solidFill>
                <a:srgbClr val="000000"/>
              </a:solidFill>
              <a:prstDash val="solid"/>
            </a:ln>
          </c:spPr>
        </c:majorGridlines>
        <c:title>
          <c:tx>
            <c:rich>
              <a:bodyPr rot="0" vert="horz"/>
              <a:lstStyle/>
              <a:p>
                <a:pPr algn="ctr">
                  <a:defRPr sz="838" b="1" i="0" u="none" strike="noStrike" baseline="0">
                    <a:solidFill>
                      <a:srgbClr val="000000"/>
                    </a:solidFill>
                    <a:latin typeface="Arial Cyr"/>
                    <a:ea typeface="Arial Cyr"/>
                    <a:cs typeface="Arial Cyr"/>
                  </a:defRPr>
                </a:pPr>
                <a:r>
                  <a:rPr lang="ru-RU"/>
                  <a:t>%%</a:t>
                </a:r>
              </a:p>
            </c:rich>
          </c:tx>
          <c:layout>
            <c:manualLayout>
              <c:xMode val="edge"/>
              <c:yMode val="edge"/>
              <c:x val="0.19243986254295534"/>
              <c:y val="0.32857142857142857"/>
            </c:manualLayout>
          </c:layout>
          <c:overlay val="0"/>
          <c:spPr>
            <a:noFill/>
            <a:ln w="26618">
              <a:noFill/>
            </a:ln>
          </c:spPr>
        </c:title>
        <c:numFmt formatCode="General" sourceLinked="1"/>
        <c:majorTickMark val="out"/>
        <c:minorTickMark val="none"/>
        <c:tickLblPos val="nextTo"/>
        <c:spPr>
          <a:ln w="3327">
            <a:solidFill>
              <a:srgbClr val="000000"/>
            </a:solidFill>
            <a:prstDash val="solid"/>
          </a:ln>
        </c:spPr>
        <c:txPr>
          <a:bodyPr rot="0" vert="horz"/>
          <a:lstStyle/>
          <a:p>
            <a:pPr>
              <a:defRPr sz="550" b="0" i="0" u="none" strike="noStrike" baseline="0">
                <a:solidFill>
                  <a:srgbClr val="000000"/>
                </a:solidFill>
                <a:latin typeface="Arial Cyr"/>
                <a:ea typeface="Arial Cyr"/>
                <a:cs typeface="Arial Cyr"/>
              </a:defRPr>
            </a:pPr>
            <a:endParaRPr lang="ru-RU"/>
          </a:p>
        </c:txPr>
        <c:crossAx val="2103965184"/>
        <c:crosses val="autoZero"/>
        <c:crossBetween val="between"/>
      </c:valAx>
      <c:spPr>
        <a:noFill/>
        <a:ln w="26618">
          <a:noFill/>
        </a:ln>
      </c:spPr>
    </c:plotArea>
    <c:legend>
      <c:legendPos val="b"/>
      <c:layout>
        <c:manualLayout>
          <c:xMode val="edge"/>
          <c:yMode val="edge"/>
          <c:x val="0.28178694158075601"/>
          <c:y val="0.82857142857142863"/>
          <c:w val="0.42955326460481097"/>
          <c:h val="0.15714285714285714"/>
        </c:manualLayout>
      </c:layout>
      <c:overlay val="0"/>
      <c:spPr>
        <a:solidFill>
          <a:srgbClr val="FFFFFF"/>
        </a:solidFill>
        <a:ln w="3327">
          <a:solidFill>
            <a:srgbClr val="000000"/>
          </a:solidFill>
          <a:prstDash val="solid"/>
        </a:ln>
      </c:spPr>
      <c:txPr>
        <a:bodyPr/>
        <a:lstStyle/>
        <a:p>
          <a:pPr>
            <a:defRPr sz="77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327">
      <a:solidFill>
        <a:srgbClr val="000000"/>
      </a:solidFill>
      <a:prstDash val="solid"/>
    </a:ln>
    <a:effectLst>
      <a:outerShdw dist="35921" dir="2700000" algn="br">
        <a:srgbClr val="000000"/>
      </a:outerShdw>
    </a:effectLst>
  </c:spPr>
  <c:txPr>
    <a:bodyPr/>
    <a:lstStyle/>
    <a:p>
      <a:pPr>
        <a:defRPr sz="838"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8327526132404183"/>
          <c:y val="0.27619047619047621"/>
          <c:w val="0.33797909407665505"/>
          <c:h val="0.46190476190476193"/>
        </c:manualLayout>
      </c:layout>
      <c:pieChart>
        <c:varyColors val="1"/>
        <c:ser>
          <c:idx val="0"/>
          <c:order val="0"/>
          <c:spPr>
            <a:solidFill>
              <a:srgbClr val="8080FF"/>
            </a:solidFill>
            <a:ln w="13580">
              <a:solidFill>
                <a:srgbClr val="000000"/>
              </a:solidFill>
              <a:prstDash val="solid"/>
            </a:ln>
          </c:spPr>
          <c:dPt>
            <c:idx val="0"/>
            <c:bubble3D val="0"/>
            <c:extLst>
              <c:ext xmlns:c16="http://schemas.microsoft.com/office/drawing/2014/chart" uri="{C3380CC4-5D6E-409C-BE32-E72D297353CC}">
                <c16:uniqueId val="{00000000-AE23-4D8E-A1D3-D483F368E630}"/>
              </c:ext>
            </c:extLst>
          </c:dPt>
          <c:dPt>
            <c:idx val="1"/>
            <c:bubble3D val="0"/>
            <c:spPr>
              <a:solidFill>
                <a:srgbClr val="802060"/>
              </a:solidFill>
              <a:ln w="13580">
                <a:solidFill>
                  <a:srgbClr val="000000"/>
                </a:solidFill>
                <a:prstDash val="solid"/>
              </a:ln>
            </c:spPr>
            <c:extLst>
              <c:ext xmlns:c16="http://schemas.microsoft.com/office/drawing/2014/chart" uri="{C3380CC4-5D6E-409C-BE32-E72D297353CC}">
                <c16:uniqueId val="{00000001-AE23-4D8E-A1D3-D483F368E630}"/>
              </c:ext>
            </c:extLst>
          </c:dPt>
          <c:dPt>
            <c:idx val="2"/>
            <c:bubble3D val="0"/>
            <c:spPr>
              <a:solidFill>
                <a:srgbClr val="FFFFC0"/>
              </a:solidFill>
              <a:ln w="13580">
                <a:solidFill>
                  <a:srgbClr val="000000"/>
                </a:solidFill>
                <a:prstDash val="solid"/>
              </a:ln>
            </c:spPr>
            <c:extLst>
              <c:ext xmlns:c16="http://schemas.microsoft.com/office/drawing/2014/chart" uri="{C3380CC4-5D6E-409C-BE32-E72D297353CC}">
                <c16:uniqueId val="{00000002-AE23-4D8E-A1D3-D483F368E630}"/>
              </c:ext>
            </c:extLst>
          </c:dPt>
          <c:dPt>
            <c:idx val="3"/>
            <c:bubble3D val="0"/>
            <c:spPr>
              <a:solidFill>
                <a:srgbClr val="A0E0E0"/>
              </a:solidFill>
              <a:ln w="13580">
                <a:solidFill>
                  <a:srgbClr val="000000"/>
                </a:solidFill>
                <a:prstDash val="solid"/>
              </a:ln>
            </c:spPr>
            <c:extLst>
              <c:ext xmlns:c16="http://schemas.microsoft.com/office/drawing/2014/chart" uri="{C3380CC4-5D6E-409C-BE32-E72D297353CC}">
                <c16:uniqueId val="{00000003-AE23-4D8E-A1D3-D483F368E630}"/>
              </c:ext>
            </c:extLst>
          </c:dPt>
          <c:dPt>
            <c:idx val="4"/>
            <c:bubble3D val="0"/>
            <c:spPr>
              <a:solidFill>
                <a:srgbClr val="600080"/>
              </a:solidFill>
              <a:ln w="13580">
                <a:solidFill>
                  <a:srgbClr val="000000"/>
                </a:solidFill>
                <a:prstDash val="solid"/>
              </a:ln>
            </c:spPr>
            <c:extLst>
              <c:ext xmlns:c16="http://schemas.microsoft.com/office/drawing/2014/chart" uri="{C3380CC4-5D6E-409C-BE32-E72D297353CC}">
                <c16:uniqueId val="{00000004-AE23-4D8E-A1D3-D483F368E630}"/>
              </c:ext>
            </c:extLst>
          </c:dPt>
          <c:dPt>
            <c:idx val="5"/>
            <c:bubble3D val="0"/>
            <c:spPr>
              <a:solidFill>
                <a:srgbClr val="FF8080"/>
              </a:solidFill>
              <a:ln w="13580">
                <a:solidFill>
                  <a:srgbClr val="000000"/>
                </a:solidFill>
                <a:prstDash val="solid"/>
              </a:ln>
            </c:spPr>
            <c:extLst>
              <c:ext xmlns:c16="http://schemas.microsoft.com/office/drawing/2014/chart" uri="{C3380CC4-5D6E-409C-BE32-E72D297353CC}">
                <c16:uniqueId val="{00000005-AE23-4D8E-A1D3-D483F368E630}"/>
              </c:ext>
            </c:extLst>
          </c:dPt>
          <c:dLbls>
            <c:dLbl>
              <c:idx val="1"/>
              <c:layout>
                <c:manualLayout>
                  <c:xMode val="edge"/>
                  <c:yMode val="edge"/>
                  <c:x val="0.37630662020905925"/>
                  <c:y val="0.72380952380952379"/>
                </c:manualLayout>
              </c:layout>
              <c:numFmt formatCode="0%" sourceLinked="0"/>
              <c:spPr>
                <a:noFill/>
                <a:ln w="27161">
                  <a:noFill/>
                </a:ln>
              </c:spPr>
              <c:txPr>
                <a:bodyPr/>
                <a:lstStyle/>
                <a:p>
                  <a:pPr>
                    <a:defRPr sz="855"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E23-4D8E-A1D3-D483F368E630}"/>
                </c:ext>
              </c:extLst>
            </c:dLbl>
            <c:dLbl>
              <c:idx val="2"/>
              <c:layout>
                <c:manualLayout>
                  <c:xMode val="edge"/>
                  <c:yMode val="edge"/>
                  <c:x val="0.20557491289198607"/>
                  <c:y val="0.57619047619047614"/>
                </c:manualLayout>
              </c:layout>
              <c:tx>
                <c:rich>
                  <a:bodyPr/>
                  <a:lstStyle/>
                  <a:p>
                    <a:pPr>
                      <a:defRPr sz="801" b="0" i="0" u="none" strike="noStrike" baseline="0">
                        <a:solidFill>
                          <a:srgbClr val="000000"/>
                        </a:solidFill>
                        <a:latin typeface="Arial Cyr"/>
                        <a:ea typeface="Arial Cyr"/>
                        <a:cs typeface="Arial Cyr"/>
                      </a:defRPr>
                    </a:pPr>
                    <a:r>
                      <a:rPr lang="ru-RU" sz="749" b="0" i="0" u="none" strike="noStrike" baseline="0">
                        <a:solidFill>
                          <a:srgbClr val="000000"/>
                        </a:solidFill>
                        <a:latin typeface="Arial Cyr"/>
                        <a:cs typeface="Arial Cyr"/>
                      </a:rPr>
                      <a:t>Самарканд</a:t>
                    </a:r>
                    <a:r>
                      <a:rPr lang="ru-RU" sz="855" b="0" i="0" u="none" strike="noStrike" baseline="0">
                        <a:solidFill>
                          <a:srgbClr val="000000"/>
                        </a:solidFill>
                        <a:latin typeface="Arial Cyr"/>
                        <a:cs typeface="Arial Cyr"/>
                      </a:rPr>
                      <a:t> </a:t>
                    </a:r>
                  </a:p>
                  <a:p>
                    <a:pPr>
                      <a:defRPr sz="801" b="0" i="0" u="none" strike="noStrike" baseline="0">
                        <a:solidFill>
                          <a:srgbClr val="000000"/>
                        </a:solidFill>
                        <a:latin typeface="Arial Cyr"/>
                        <a:ea typeface="Arial Cyr"/>
                        <a:cs typeface="Arial Cyr"/>
                      </a:defRPr>
                    </a:pPr>
                    <a:r>
                      <a:rPr lang="ru-RU" sz="855" b="0" i="0" u="none" strike="noStrike" baseline="0">
                        <a:solidFill>
                          <a:srgbClr val="000000"/>
                        </a:solidFill>
                        <a:latin typeface="Arial Cyr"/>
                        <a:cs typeface="Arial Cyr"/>
                      </a:rPr>
                      <a:t>20%</a:t>
                    </a:r>
                  </a:p>
                </c:rich>
              </c:tx>
              <c:spPr>
                <a:noFill/>
                <a:ln w="27161">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E23-4D8E-A1D3-D483F368E630}"/>
                </c:ext>
              </c:extLst>
            </c:dLbl>
            <c:dLbl>
              <c:idx val="3"/>
              <c:layout>
                <c:manualLayout>
                  <c:xMode val="edge"/>
                  <c:yMode val="edge"/>
                  <c:x val="0.20905923344947736"/>
                  <c:y val="0.27142857142857141"/>
                </c:manualLayout>
              </c:layout>
              <c:numFmt formatCode="0%" sourceLinked="0"/>
              <c:spPr>
                <a:noFill/>
                <a:ln w="27161">
                  <a:noFill/>
                </a:ln>
              </c:spPr>
              <c:txPr>
                <a:bodyPr/>
                <a:lstStyle/>
                <a:p>
                  <a:pPr>
                    <a:defRPr sz="855"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E23-4D8E-A1D3-D483F368E630}"/>
                </c:ext>
              </c:extLst>
            </c:dLbl>
            <c:dLbl>
              <c:idx val="4"/>
              <c:layout>
                <c:manualLayout>
                  <c:xMode val="edge"/>
                  <c:yMode val="edge"/>
                  <c:x val="0.40069686411149824"/>
                  <c:y val="0.11904761904761904"/>
                </c:manualLayout>
              </c:layout>
              <c:numFmt formatCode="0%" sourceLinked="0"/>
              <c:spPr>
                <a:noFill/>
                <a:ln w="27161">
                  <a:noFill/>
                </a:ln>
              </c:spPr>
              <c:txPr>
                <a:bodyPr/>
                <a:lstStyle/>
                <a:p>
                  <a:pPr>
                    <a:defRPr sz="855"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E23-4D8E-A1D3-D483F368E630}"/>
                </c:ext>
              </c:extLst>
            </c:dLbl>
            <c:dLbl>
              <c:idx val="5"/>
              <c:layout>
                <c:manualLayout>
                  <c:xMode val="edge"/>
                  <c:yMode val="edge"/>
                  <c:x val="0.50522648083623689"/>
                  <c:y val="0.10476190476190476"/>
                </c:manualLayout>
              </c:layout>
              <c:numFmt formatCode="0%" sourceLinked="0"/>
              <c:spPr>
                <a:noFill/>
                <a:ln w="27161">
                  <a:noFill/>
                </a:ln>
              </c:spPr>
              <c:txPr>
                <a:bodyPr/>
                <a:lstStyle/>
                <a:p>
                  <a:pPr>
                    <a:defRPr sz="855"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E23-4D8E-A1D3-D483F368E630}"/>
                </c:ext>
              </c:extLst>
            </c:dLbl>
            <c:numFmt formatCode="0%" sourceLinked="0"/>
            <c:spPr>
              <a:noFill/>
              <a:ln w="27161">
                <a:noFill/>
              </a:ln>
            </c:spPr>
            <c:txPr>
              <a:bodyPr wrap="square" lIns="38100" tIns="19050" rIns="38100" bIns="19050" anchor="ctr">
                <a:spAutoFit/>
              </a:bodyPr>
              <a:lstStyle/>
              <a:p>
                <a:pPr>
                  <a:defRPr sz="855" b="0" i="0" u="none" strike="noStrike" baseline="0">
                    <a:solidFill>
                      <a:srgbClr val="000000"/>
                    </a:solidFill>
                    <a:latin typeface="Arial Cyr"/>
                    <a:ea typeface="Arial Cyr"/>
                    <a:cs typeface="Arial Cyr"/>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Лист2!$A$12:$A$17</c:f>
              <c:strCache>
                <c:ptCount val="6"/>
                <c:pt idx="0">
                  <c:v>аш-Шаш</c:v>
                </c:pt>
                <c:pt idx="1">
                  <c:v>Нисабур</c:v>
                </c:pt>
                <c:pt idx="2">
                  <c:v>Самарканд </c:v>
                </c:pt>
                <c:pt idx="3">
                  <c:v>Андераб</c:v>
                </c:pt>
                <c:pt idx="4">
                  <c:v>Пр.</c:v>
                </c:pt>
                <c:pt idx="5">
                  <c:v>Балх</c:v>
                </c:pt>
              </c:strCache>
            </c:strRef>
          </c:cat>
          <c:val>
            <c:numRef>
              <c:f>Лист2!$B$12:$B$17</c:f>
              <c:numCache>
                <c:formatCode>General</c:formatCode>
                <c:ptCount val="6"/>
                <c:pt idx="0">
                  <c:v>198</c:v>
                </c:pt>
                <c:pt idx="1">
                  <c:v>4</c:v>
                </c:pt>
                <c:pt idx="2">
                  <c:v>72</c:v>
                </c:pt>
                <c:pt idx="3">
                  <c:v>46</c:v>
                </c:pt>
                <c:pt idx="4">
                  <c:v>27</c:v>
                </c:pt>
                <c:pt idx="5">
                  <c:v>8</c:v>
                </c:pt>
              </c:numCache>
            </c:numRef>
          </c:val>
          <c:extLst>
            <c:ext xmlns:c16="http://schemas.microsoft.com/office/drawing/2014/chart" uri="{C3380CC4-5D6E-409C-BE32-E72D297353CC}">
              <c16:uniqueId val="{00000006-AE23-4D8E-A1D3-D483F368E630}"/>
            </c:ext>
          </c:extLst>
        </c:ser>
        <c:dLbls>
          <c:dLblPos val="outEnd"/>
          <c:showLegendKey val="0"/>
          <c:showVal val="0"/>
          <c:showCatName val="1"/>
          <c:showSerName val="0"/>
          <c:showPercent val="1"/>
          <c:showBubbleSize val="0"/>
          <c:showLeaderLines val="0"/>
        </c:dLbls>
        <c:firstSliceAng val="0"/>
      </c:pieChart>
      <c:spPr>
        <a:noFill/>
        <a:ln w="27161">
          <a:noFill/>
        </a:ln>
      </c:spPr>
    </c:plotArea>
    <c:plotVisOnly val="1"/>
    <c:dispBlanksAs val="zero"/>
    <c:showDLblsOverMax val="0"/>
  </c:chart>
  <c:spPr>
    <a:solidFill>
      <a:srgbClr val="FFFFFF"/>
    </a:solidFill>
    <a:ln w="3395">
      <a:solidFill>
        <a:srgbClr val="000000"/>
      </a:solidFill>
      <a:prstDash val="solid"/>
    </a:ln>
    <a:effectLst>
      <a:outerShdw dist="35921" dir="2700000" algn="br">
        <a:srgbClr val="000000"/>
      </a:outerShdw>
    </a:effectLst>
  </c:spPr>
  <c:txPr>
    <a:bodyPr/>
    <a:lstStyle/>
    <a:p>
      <a:pPr>
        <a:defRPr sz="855"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11705685618729"/>
          <c:y val="0.33047210300429186"/>
          <c:w val="0.37458193979933108"/>
          <c:h val="0.48068669527896996"/>
        </c:manualLayout>
      </c:layout>
      <c:pieChart>
        <c:varyColors val="1"/>
        <c:ser>
          <c:idx val="0"/>
          <c:order val="0"/>
          <c:spPr>
            <a:solidFill>
              <a:srgbClr val="8080FF"/>
            </a:solidFill>
            <a:ln w="12694">
              <a:solidFill>
                <a:srgbClr val="000000"/>
              </a:solidFill>
              <a:prstDash val="solid"/>
            </a:ln>
          </c:spPr>
          <c:dPt>
            <c:idx val="0"/>
            <c:bubble3D val="0"/>
            <c:extLst>
              <c:ext xmlns:c16="http://schemas.microsoft.com/office/drawing/2014/chart" uri="{C3380CC4-5D6E-409C-BE32-E72D297353CC}">
                <c16:uniqueId val="{00000000-D1BE-4181-9B0E-F7FD7DC54779}"/>
              </c:ext>
            </c:extLst>
          </c:dPt>
          <c:dPt>
            <c:idx val="1"/>
            <c:bubble3D val="0"/>
            <c:spPr>
              <a:solidFill>
                <a:srgbClr val="802060"/>
              </a:solidFill>
              <a:ln w="12694">
                <a:solidFill>
                  <a:srgbClr val="000000"/>
                </a:solidFill>
                <a:prstDash val="solid"/>
              </a:ln>
            </c:spPr>
            <c:extLst>
              <c:ext xmlns:c16="http://schemas.microsoft.com/office/drawing/2014/chart" uri="{C3380CC4-5D6E-409C-BE32-E72D297353CC}">
                <c16:uniqueId val="{00000001-D1BE-4181-9B0E-F7FD7DC54779}"/>
              </c:ext>
            </c:extLst>
          </c:dPt>
          <c:dPt>
            <c:idx val="2"/>
            <c:bubble3D val="0"/>
            <c:spPr>
              <a:solidFill>
                <a:srgbClr val="FFFFC0"/>
              </a:solidFill>
              <a:ln w="12694">
                <a:solidFill>
                  <a:srgbClr val="000000"/>
                </a:solidFill>
                <a:prstDash val="solid"/>
              </a:ln>
            </c:spPr>
            <c:extLst>
              <c:ext xmlns:c16="http://schemas.microsoft.com/office/drawing/2014/chart" uri="{C3380CC4-5D6E-409C-BE32-E72D297353CC}">
                <c16:uniqueId val="{00000002-D1BE-4181-9B0E-F7FD7DC54779}"/>
              </c:ext>
            </c:extLst>
          </c:dPt>
          <c:dPt>
            <c:idx val="3"/>
            <c:bubble3D val="0"/>
            <c:spPr>
              <a:solidFill>
                <a:srgbClr val="A0E0E0"/>
              </a:solidFill>
              <a:ln w="12694">
                <a:solidFill>
                  <a:srgbClr val="000000"/>
                </a:solidFill>
                <a:prstDash val="solid"/>
              </a:ln>
            </c:spPr>
            <c:extLst>
              <c:ext xmlns:c16="http://schemas.microsoft.com/office/drawing/2014/chart" uri="{C3380CC4-5D6E-409C-BE32-E72D297353CC}">
                <c16:uniqueId val="{00000003-D1BE-4181-9B0E-F7FD7DC54779}"/>
              </c:ext>
            </c:extLst>
          </c:dPt>
          <c:dPt>
            <c:idx val="4"/>
            <c:bubble3D val="0"/>
            <c:spPr>
              <a:solidFill>
                <a:srgbClr val="600080"/>
              </a:solidFill>
              <a:ln w="12694">
                <a:solidFill>
                  <a:srgbClr val="000000"/>
                </a:solidFill>
                <a:prstDash val="solid"/>
              </a:ln>
            </c:spPr>
            <c:extLst>
              <c:ext xmlns:c16="http://schemas.microsoft.com/office/drawing/2014/chart" uri="{C3380CC4-5D6E-409C-BE32-E72D297353CC}">
                <c16:uniqueId val="{00000004-D1BE-4181-9B0E-F7FD7DC54779}"/>
              </c:ext>
            </c:extLst>
          </c:dPt>
          <c:dPt>
            <c:idx val="5"/>
            <c:bubble3D val="0"/>
            <c:spPr>
              <a:solidFill>
                <a:srgbClr val="FF8080"/>
              </a:solidFill>
              <a:ln w="12694">
                <a:solidFill>
                  <a:srgbClr val="000000"/>
                </a:solidFill>
                <a:prstDash val="solid"/>
              </a:ln>
            </c:spPr>
            <c:extLst>
              <c:ext xmlns:c16="http://schemas.microsoft.com/office/drawing/2014/chart" uri="{C3380CC4-5D6E-409C-BE32-E72D297353CC}">
                <c16:uniqueId val="{00000005-D1BE-4181-9B0E-F7FD7DC54779}"/>
              </c:ext>
            </c:extLst>
          </c:dPt>
          <c:dPt>
            <c:idx val="6"/>
            <c:bubble3D val="0"/>
            <c:spPr>
              <a:solidFill>
                <a:srgbClr val="0080C0"/>
              </a:solidFill>
              <a:ln w="12694">
                <a:solidFill>
                  <a:srgbClr val="000000"/>
                </a:solidFill>
                <a:prstDash val="solid"/>
              </a:ln>
            </c:spPr>
            <c:extLst>
              <c:ext xmlns:c16="http://schemas.microsoft.com/office/drawing/2014/chart" uri="{C3380CC4-5D6E-409C-BE32-E72D297353CC}">
                <c16:uniqueId val="{00000006-D1BE-4181-9B0E-F7FD7DC54779}"/>
              </c:ext>
            </c:extLst>
          </c:dPt>
          <c:dLbls>
            <c:dLbl>
              <c:idx val="2"/>
              <c:layout>
                <c:manualLayout>
                  <c:xMode val="edge"/>
                  <c:yMode val="edge"/>
                  <c:x val="0.24080267558528429"/>
                  <c:y val="0.76824034334763946"/>
                </c:manualLayout>
              </c:layout>
              <c:numFmt formatCode="0%" sourceLinked="0"/>
              <c:spPr>
                <a:noFill/>
                <a:ln w="25388">
                  <a:noFill/>
                </a:ln>
              </c:spPr>
              <c:txPr>
                <a:bodyPr/>
                <a:lstStyle/>
                <a:p>
                  <a:pPr>
                    <a:defRPr sz="700"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1BE-4181-9B0E-F7FD7DC54779}"/>
                </c:ext>
              </c:extLst>
            </c:dLbl>
            <c:numFmt formatCode="0%" sourceLinked="0"/>
            <c:spPr>
              <a:noFill/>
              <a:ln w="25388">
                <a:noFill/>
              </a:ln>
            </c:spPr>
            <c:txPr>
              <a:bodyPr wrap="square" lIns="38100" tIns="19050" rIns="38100" bIns="19050" anchor="ctr">
                <a:spAutoFit/>
              </a:bodyPr>
              <a:lstStyle/>
              <a:p>
                <a:pPr>
                  <a:defRPr sz="800" b="0" i="0" u="none" strike="noStrike" baseline="0">
                    <a:solidFill>
                      <a:srgbClr val="000000"/>
                    </a:solidFill>
                    <a:latin typeface="Arial Cyr"/>
                    <a:ea typeface="Arial Cyr"/>
                    <a:cs typeface="Arial Cyr"/>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Лист2!$A$3:$A$9</c:f>
              <c:strCache>
                <c:ptCount val="7"/>
                <c:pt idx="0">
                  <c:v>аш-Шаш</c:v>
                </c:pt>
                <c:pt idx="1">
                  <c:v>Нисабур</c:v>
                </c:pt>
                <c:pt idx="2">
                  <c:v>Самарканд </c:v>
                </c:pt>
                <c:pt idx="3">
                  <c:v>Андераб</c:v>
                </c:pt>
                <c:pt idx="4">
                  <c:v>Пр.</c:v>
                </c:pt>
                <c:pt idx="5">
                  <c:v>Балх</c:v>
                </c:pt>
                <c:pt idx="6">
                  <c:v>Мерв</c:v>
                </c:pt>
              </c:strCache>
            </c:strRef>
          </c:cat>
          <c:val>
            <c:numRef>
              <c:f>Лист2!$B$3:$B$9</c:f>
              <c:numCache>
                <c:formatCode>General</c:formatCode>
                <c:ptCount val="7"/>
                <c:pt idx="0">
                  <c:v>44.88</c:v>
                </c:pt>
                <c:pt idx="1">
                  <c:v>1.79</c:v>
                </c:pt>
                <c:pt idx="2">
                  <c:v>27.95</c:v>
                </c:pt>
                <c:pt idx="3">
                  <c:v>8.4600000000000009</c:v>
                </c:pt>
                <c:pt idx="4">
                  <c:v>4.0999999999999996</c:v>
                </c:pt>
                <c:pt idx="5">
                  <c:v>12.56</c:v>
                </c:pt>
                <c:pt idx="6">
                  <c:v>0.25</c:v>
                </c:pt>
              </c:numCache>
            </c:numRef>
          </c:val>
          <c:extLst>
            <c:ext xmlns:c16="http://schemas.microsoft.com/office/drawing/2014/chart" uri="{C3380CC4-5D6E-409C-BE32-E72D297353CC}">
              <c16:uniqueId val="{00000007-D1BE-4181-9B0E-F7FD7DC54779}"/>
            </c:ext>
          </c:extLst>
        </c:ser>
        <c:dLbls>
          <c:dLblPos val="outEnd"/>
          <c:showLegendKey val="0"/>
          <c:showVal val="0"/>
          <c:showCatName val="1"/>
          <c:showSerName val="0"/>
          <c:showPercent val="1"/>
          <c:showBubbleSize val="0"/>
          <c:showLeaderLines val="0"/>
        </c:dLbls>
        <c:firstSliceAng val="0"/>
      </c:pieChart>
      <c:spPr>
        <a:noFill/>
        <a:ln w="25388">
          <a:noFill/>
        </a:ln>
      </c:spPr>
    </c:plotArea>
    <c:plotVisOnly val="1"/>
    <c:dispBlanksAs val="zero"/>
    <c:showDLblsOverMax val="0"/>
  </c:chart>
  <c:spPr>
    <a:solidFill>
      <a:srgbClr val="FFFFFF"/>
    </a:solidFill>
    <a:ln w="3173">
      <a:solidFill>
        <a:srgbClr val="000000"/>
      </a:solidFill>
      <a:prstDash val="solid"/>
    </a:ln>
    <a:effectLst>
      <a:outerShdw dist="35921" dir="2700000" algn="br">
        <a:srgbClr val="000000"/>
      </a:outerShdw>
    </a:effectLst>
  </c:spPr>
  <c:txPr>
    <a:bodyPr/>
    <a:lstStyle/>
    <a:p>
      <a:pPr>
        <a:defRPr sz="8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1" b="0" i="0" u="none" strike="noStrike" baseline="0">
                <a:solidFill>
                  <a:srgbClr val="000000"/>
                </a:solidFill>
                <a:latin typeface="Arial Cyr"/>
                <a:ea typeface="Arial Cyr"/>
                <a:cs typeface="Arial Cyr"/>
              </a:defRPr>
            </a:pPr>
            <a:r>
              <a:rPr lang="ru-RU"/>
              <a:t>Условн.обозначения: 1 - аш-Шаш; 2 - Андераб; 
3 - Самарканд; 4 - Прочие; 5 - Балх; 6 - Нишапур; 
7- Мадинат ас-Салам.</a:t>
            </a:r>
          </a:p>
        </c:rich>
      </c:tx>
      <c:layout>
        <c:manualLayout>
          <c:xMode val="edge"/>
          <c:yMode val="edge"/>
          <c:x val="0.15573770491803279"/>
          <c:y val="1.9083969465648856E-2"/>
        </c:manualLayout>
      </c:layout>
      <c:overlay val="0"/>
      <c:spPr>
        <a:noFill/>
        <a:ln w="25419">
          <a:noFill/>
        </a:ln>
      </c:spPr>
    </c:title>
    <c:autoTitleDeleted val="0"/>
    <c:view3D>
      <c:rotX val="5"/>
      <c:hPercent val="64"/>
      <c:rotY val="10"/>
      <c:depthPercent val="200"/>
      <c:rAngAx val="1"/>
    </c:view3D>
    <c:floor>
      <c:thickness val="0"/>
      <c:spPr>
        <a:noFill/>
        <a:ln w="3175">
          <a:solidFill>
            <a:srgbClr val="000000"/>
          </a:solidFill>
          <a:prstDash val="solid"/>
        </a:ln>
      </c:spPr>
    </c:floor>
    <c:sideWall>
      <c:thickness val="0"/>
      <c:spPr>
        <a:noFill/>
        <a:ln w="12700">
          <a:solidFill>
            <a:srgbClr val="808080"/>
          </a:solidFill>
          <a:prstDash val="solid"/>
        </a:ln>
      </c:spPr>
    </c:sideWall>
    <c:backWall>
      <c:thickness val="0"/>
      <c:spPr>
        <a:noFill/>
        <a:ln w="12700">
          <a:solidFill>
            <a:srgbClr val="808080"/>
          </a:solidFill>
          <a:prstDash val="solid"/>
        </a:ln>
      </c:spPr>
    </c:backWall>
    <c:plotArea>
      <c:layout>
        <c:manualLayout>
          <c:layoutTarget val="inner"/>
          <c:xMode val="edge"/>
          <c:yMode val="edge"/>
          <c:x val="6.8306010928961755E-2"/>
          <c:y val="0.26335877862595419"/>
          <c:w val="0.71857923497267762"/>
          <c:h val="0.51908396946564883"/>
        </c:manualLayout>
      </c:layout>
      <c:bar3DChart>
        <c:barDir val="col"/>
        <c:grouping val="stacked"/>
        <c:varyColors val="0"/>
        <c:ser>
          <c:idx val="0"/>
          <c:order val="0"/>
          <c:tx>
            <c:strRef>
              <c:f>Лист5!$A$64</c:f>
              <c:strCache>
                <c:ptCount val="1"/>
                <c:pt idx="0">
                  <c:v>-1</c:v>
                </c:pt>
              </c:strCache>
            </c:strRef>
          </c:tx>
          <c:spPr>
            <a:solidFill>
              <a:srgbClr val="8080FF"/>
            </a:solidFill>
            <a:ln w="3177">
              <a:solidFill>
                <a:srgbClr val="000000"/>
              </a:solidFill>
              <a:prstDash val="solid"/>
            </a:ln>
          </c:spPr>
          <c:invertIfNegative val="0"/>
          <c:cat>
            <c:strRef>
              <c:f>Лист5!$B$63:$G$63</c:f>
              <c:strCache>
                <c:ptCount val="6"/>
                <c:pt idx="0">
                  <c:v>269-278/890</c:v>
                </c:pt>
                <c:pt idx="1">
                  <c:v>279-288/900</c:v>
                </c:pt>
                <c:pt idx="2">
                  <c:v>289-298/910</c:v>
                </c:pt>
                <c:pt idx="3">
                  <c:v>299-308/920</c:v>
                </c:pt>
                <c:pt idx="4">
                  <c:v>309-318/930</c:v>
                </c:pt>
                <c:pt idx="5">
                  <c:v>319-328/940</c:v>
                </c:pt>
              </c:strCache>
            </c:strRef>
          </c:cat>
          <c:val>
            <c:numRef>
              <c:f>Лист5!$B$64:$G$64</c:f>
              <c:numCache>
                <c:formatCode>General</c:formatCode>
                <c:ptCount val="6"/>
                <c:pt idx="1">
                  <c:v>1.55</c:v>
                </c:pt>
                <c:pt idx="2">
                  <c:v>1.67</c:v>
                </c:pt>
                <c:pt idx="3">
                  <c:v>1.37</c:v>
                </c:pt>
                <c:pt idx="4">
                  <c:v>8.6219999999999999</c:v>
                </c:pt>
                <c:pt idx="5">
                  <c:v>9.5440000000000005</c:v>
                </c:pt>
              </c:numCache>
            </c:numRef>
          </c:val>
          <c:extLst>
            <c:ext xmlns:c16="http://schemas.microsoft.com/office/drawing/2014/chart" uri="{C3380CC4-5D6E-409C-BE32-E72D297353CC}">
              <c16:uniqueId val="{00000000-AA24-40FA-BA6E-5070660FC73B}"/>
            </c:ext>
          </c:extLst>
        </c:ser>
        <c:ser>
          <c:idx val="1"/>
          <c:order val="1"/>
          <c:tx>
            <c:strRef>
              <c:f>Лист5!$A$65</c:f>
              <c:strCache>
                <c:ptCount val="1"/>
                <c:pt idx="0">
                  <c:v>-2</c:v>
                </c:pt>
              </c:strCache>
            </c:strRef>
          </c:tx>
          <c:spPr>
            <a:solidFill>
              <a:srgbClr val="802060"/>
            </a:solidFill>
            <a:ln w="3177">
              <a:solidFill>
                <a:srgbClr val="000000"/>
              </a:solidFill>
              <a:prstDash val="solid"/>
            </a:ln>
          </c:spPr>
          <c:invertIfNegative val="0"/>
          <c:cat>
            <c:strRef>
              <c:f>Лист5!$B$63:$G$63</c:f>
              <c:strCache>
                <c:ptCount val="6"/>
                <c:pt idx="0">
                  <c:v>269-278/890</c:v>
                </c:pt>
                <c:pt idx="1">
                  <c:v>279-288/900</c:v>
                </c:pt>
                <c:pt idx="2">
                  <c:v>289-298/910</c:v>
                </c:pt>
                <c:pt idx="3">
                  <c:v>299-308/920</c:v>
                </c:pt>
                <c:pt idx="4">
                  <c:v>309-318/930</c:v>
                </c:pt>
                <c:pt idx="5">
                  <c:v>319-328/940</c:v>
                </c:pt>
              </c:strCache>
            </c:strRef>
          </c:cat>
          <c:val>
            <c:numRef>
              <c:f>Лист5!$B$65:$G$65</c:f>
              <c:numCache>
                <c:formatCode>General</c:formatCode>
                <c:ptCount val="6"/>
                <c:pt idx="2">
                  <c:v>0.86099999999999999</c:v>
                </c:pt>
                <c:pt idx="3">
                  <c:v>1.552</c:v>
                </c:pt>
                <c:pt idx="4">
                  <c:v>2.17</c:v>
                </c:pt>
                <c:pt idx="5">
                  <c:v>0.77600000000000002</c:v>
                </c:pt>
              </c:numCache>
            </c:numRef>
          </c:val>
          <c:extLst>
            <c:ext xmlns:c16="http://schemas.microsoft.com/office/drawing/2014/chart" uri="{C3380CC4-5D6E-409C-BE32-E72D297353CC}">
              <c16:uniqueId val="{00000001-AA24-40FA-BA6E-5070660FC73B}"/>
            </c:ext>
          </c:extLst>
        </c:ser>
        <c:ser>
          <c:idx val="2"/>
          <c:order val="2"/>
          <c:tx>
            <c:strRef>
              <c:f>Лист5!$A$66</c:f>
              <c:strCache>
                <c:ptCount val="1"/>
                <c:pt idx="0">
                  <c:v>-3</c:v>
                </c:pt>
              </c:strCache>
            </c:strRef>
          </c:tx>
          <c:spPr>
            <a:solidFill>
              <a:srgbClr val="FFFFC0"/>
            </a:solidFill>
            <a:ln w="3177">
              <a:solidFill>
                <a:srgbClr val="000000"/>
              </a:solidFill>
              <a:prstDash val="solid"/>
            </a:ln>
          </c:spPr>
          <c:invertIfNegative val="0"/>
          <c:cat>
            <c:strRef>
              <c:f>Лист5!$B$63:$G$63</c:f>
              <c:strCache>
                <c:ptCount val="6"/>
                <c:pt idx="0">
                  <c:v>269-278/890</c:v>
                </c:pt>
                <c:pt idx="1">
                  <c:v>279-288/900</c:v>
                </c:pt>
                <c:pt idx="2">
                  <c:v>289-298/910</c:v>
                </c:pt>
                <c:pt idx="3">
                  <c:v>299-308/920</c:v>
                </c:pt>
                <c:pt idx="4">
                  <c:v>309-318/930</c:v>
                </c:pt>
                <c:pt idx="5">
                  <c:v>319-328/940</c:v>
                </c:pt>
              </c:strCache>
            </c:strRef>
          </c:cat>
          <c:val>
            <c:numRef>
              <c:f>Лист5!$B$66:$G$66</c:f>
              <c:numCache>
                <c:formatCode>General</c:formatCode>
                <c:ptCount val="6"/>
                <c:pt idx="0">
                  <c:v>4.8500000000000001E-2</c:v>
                </c:pt>
                <c:pt idx="1">
                  <c:v>0.46</c:v>
                </c:pt>
                <c:pt idx="2">
                  <c:v>0.93300000000000005</c:v>
                </c:pt>
                <c:pt idx="3">
                  <c:v>5.59</c:v>
                </c:pt>
                <c:pt idx="4">
                  <c:v>11.593</c:v>
                </c:pt>
                <c:pt idx="5">
                  <c:v>14.904</c:v>
                </c:pt>
              </c:numCache>
            </c:numRef>
          </c:val>
          <c:extLst>
            <c:ext xmlns:c16="http://schemas.microsoft.com/office/drawing/2014/chart" uri="{C3380CC4-5D6E-409C-BE32-E72D297353CC}">
              <c16:uniqueId val="{00000002-AA24-40FA-BA6E-5070660FC73B}"/>
            </c:ext>
          </c:extLst>
        </c:ser>
        <c:ser>
          <c:idx val="3"/>
          <c:order val="3"/>
          <c:tx>
            <c:strRef>
              <c:f>Лист5!$A$67</c:f>
              <c:strCache>
                <c:ptCount val="1"/>
                <c:pt idx="0">
                  <c:v>-4</c:v>
                </c:pt>
              </c:strCache>
            </c:strRef>
          </c:tx>
          <c:spPr>
            <a:solidFill>
              <a:srgbClr val="A0E0E0"/>
            </a:solidFill>
            <a:ln w="12709">
              <a:solidFill>
                <a:srgbClr val="000000"/>
              </a:solidFill>
              <a:prstDash val="solid"/>
            </a:ln>
          </c:spPr>
          <c:invertIfNegative val="0"/>
          <c:cat>
            <c:strRef>
              <c:f>Лист5!$B$63:$G$63</c:f>
              <c:strCache>
                <c:ptCount val="6"/>
                <c:pt idx="0">
                  <c:v>269-278/890</c:v>
                </c:pt>
                <c:pt idx="1">
                  <c:v>279-288/900</c:v>
                </c:pt>
                <c:pt idx="2">
                  <c:v>289-298/910</c:v>
                </c:pt>
                <c:pt idx="3">
                  <c:v>299-308/920</c:v>
                </c:pt>
                <c:pt idx="4">
                  <c:v>309-318/930</c:v>
                </c:pt>
                <c:pt idx="5">
                  <c:v>319-328/940</c:v>
                </c:pt>
              </c:strCache>
            </c:strRef>
          </c:cat>
          <c:val>
            <c:numRef>
              <c:f>Лист5!$B$67:$G$67</c:f>
              <c:numCache>
                <c:formatCode>General</c:formatCode>
                <c:ptCount val="6"/>
                <c:pt idx="0">
                  <c:v>0.36399999999999999</c:v>
                </c:pt>
                <c:pt idx="1">
                  <c:v>0.30299999999999999</c:v>
                </c:pt>
                <c:pt idx="2">
                  <c:v>0.64200000000000002</c:v>
                </c:pt>
                <c:pt idx="3">
                  <c:v>0.8</c:v>
                </c:pt>
                <c:pt idx="4">
                  <c:v>5.6749999999999998</c:v>
                </c:pt>
                <c:pt idx="5">
                  <c:v>3.601</c:v>
                </c:pt>
              </c:numCache>
            </c:numRef>
          </c:val>
          <c:extLst>
            <c:ext xmlns:c16="http://schemas.microsoft.com/office/drawing/2014/chart" uri="{C3380CC4-5D6E-409C-BE32-E72D297353CC}">
              <c16:uniqueId val="{00000003-AA24-40FA-BA6E-5070660FC73B}"/>
            </c:ext>
          </c:extLst>
        </c:ser>
        <c:ser>
          <c:idx val="4"/>
          <c:order val="4"/>
          <c:tx>
            <c:strRef>
              <c:f>Лист5!$A$68</c:f>
              <c:strCache>
                <c:ptCount val="1"/>
                <c:pt idx="0">
                  <c:v>-5</c:v>
                </c:pt>
              </c:strCache>
            </c:strRef>
          </c:tx>
          <c:spPr>
            <a:solidFill>
              <a:srgbClr val="600080"/>
            </a:solidFill>
            <a:ln w="3177">
              <a:solidFill>
                <a:srgbClr val="000000"/>
              </a:solidFill>
              <a:prstDash val="solid"/>
            </a:ln>
          </c:spPr>
          <c:invertIfNegative val="0"/>
          <c:cat>
            <c:strRef>
              <c:f>Лист5!$B$63:$G$63</c:f>
              <c:strCache>
                <c:ptCount val="6"/>
                <c:pt idx="0">
                  <c:v>269-278/890</c:v>
                </c:pt>
                <c:pt idx="1">
                  <c:v>279-288/900</c:v>
                </c:pt>
                <c:pt idx="2">
                  <c:v>289-298/910</c:v>
                </c:pt>
                <c:pt idx="3">
                  <c:v>299-308/920</c:v>
                </c:pt>
                <c:pt idx="4">
                  <c:v>309-318/930</c:v>
                </c:pt>
                <c:pt idx="5">
                  <c:v>319-328/940</c:v>
                </c:pt>
              </c:strCache>
            </c:strRef>
          </c:cat>
          <c:val>
            <c:numRef>
              <c:f>Лист5!$B$68:$G$68</c:f>
              <c:numCache>
                <c:formatCode>General</c:formatCode>
                <c:ptCount val="6"/>
                <c:pt idx="2">
                  <c:v>0.182</c:v>
                </c:pt>
                <c:pt idx="3">
                  <c:v>0.109</c:v>
                </c:pt>
                <c:pt idx="4">
                  <c:v>6.7060000000000004</c:v>
                </c:pt>
                <c:pt idx="5">
                  <c:v>8.4160000000000004</c:v>
                </c:pt>
              </c:numCache>
            </c:numRef>
          </c:val>
          <c:extLst>
            <c:ext xmlns:c16="http://schemas.microsoft.com/office/drawing/2014/chart" uri="{C3380CC4-5D6E-409C-BE32-E72D297353CC}">
              <c16:uniqueId val="{00000004-AA24-40FA-BA6E-5070660FC73B}"/>
            </c:ext>
          </c:extLst>
        </c:ser>
        <c:ser>
          <c:idx val="5"/>
          <c:order val="5"/>
          <c:tx>
            <c:strRef>
              <c:f>Лист5!$A$69</c:f>
              <c:strCache>
                <c:ptCount val="1"/>
                <c:pt idx="0">
                  <c:v>-6</c:v>
                </c:pt>
              </c:strCache>
            </c:strRef>
          </c:tx>
          <c:spPr>
            <a:solidFill>
              <a:srgbClr val="FF8080"/>
            </a:solidFill>
            <a:ln w="12709">
              <a:solidFill>
                <a:srgbClr val="000000"/>
              </a:solidFill>
              <a:prstDash val="solid"/>
            </a:ln>
          </c:spPr>
          <c:invertIfNegative val="0"/>
          <c:cat>
            <c:strRef>
              <c:f>Лист5!$B$63:$G$63</c:f>
              <c:strCache>
                <c:ptCount val="6"/>
                <c:pt idx="0">
                  <c:v>269-278/890</c:v>
                </c:pt>
                <c:pt idx="1">
                  <c:v>279-288/900</c:v>
                </c:pt>
                <c:pt idx="2">
                  <c:v>289-298/910</c:v>
                </c:pt>
                <c:pt idx="3">
                  <c:v>299-308/920</c:v>
                </c:pt>
                <c:pt idx="4">
                  <c:v>309-318/930</c:v>
                </c:pt>
                <c:pt idx="5">
                  <c:v>319-328/940</c:v>
                </c:pt>
              </c:strCache>
            </c:strRef>
          </c:cat>
          <c:val>
            <c:numRef>
              <c:f>Лист5!$B$69:$G$69</c:f>
              <c:numCache>
                <c:formatCode>General</c:formatCode>
                <c:ptCount val="6"/>
                <c:pt idx="2">
                  <c:v>0.158</c:v>
                </c:pt>
                <c:pt idx="3">
                  <c:v>0.52100000000000002</c:v>
                </c:pt>
                <c:pt idx="4">
                  <c:v>1.0009999999999999</c:v>
                </c:pt>
                <c:pt idx="5">
                  <c:v>8.9860000000000007</c:v>
                </c:pt>
              </c:numCache>
            </c:numRef>
          </c:val>
          <c:extLst>
            <c:ext xmlns:c16="http://schemas.microsoft.com/office/drawing/2014/chart" uri="{C3380CC4-5D6E-409C-BE32-E72D297353CC}">
              <c16:uniqueId val="{00000005-AA24-40FA-BA6E-5070660FC73B}"/>
            </c:ext>
          </c:extLst>
        </c:ser>
        <c:ser>
          <c:idx val="6"/>
          <c:order val="6"/>
          <c:tx>
            <c:strRef>
              <c:f>Лист5!$A$70</c:f>
              <c:strCache>
                <c:ptCount val="1"/>
                <c:pt idx="0">
                  <c:v>-7</c:v>
                </c:pt>
              </c:strCache>
            </c:strRef>
          </c:tx>
          <c:spPr>
            <a:solidFill>
              <a:srgbClr val="0080C0"/>
            </a:solidFill>
            <a:ln w="12709">
              <a:solidFill>
                <a:srgbClr val="000000"/>
              </a:solidFill>
              <a:prstDash val="solid"/>
            </a:ln>
          </c:spPr>
          <c:invertIfNegative val="0"/>
          <c:cat>
            <c:strRef>
              <c:f>Лист5!$B$63:$G$63</c:f>
              <c:strCache>
                <c:ptCount val="6"/>
                <c:pt idx="0">
                  <c:v>269-278/890</c:v>
                </c:pt>
                <c:pt idx="1">
                  <c:v>279-288/900</c:v>
                </c:pt>
                <c:pt idx="2">
                  <c:v>289-298/910</c:v>
                </c:pt>
                <c:pt idx="3">
                  <c:v>299-308/920</c:v>
                </c:pt>
                <c:pt idx="4">
                  <c:v>309-318/930</c:v>
                </c:pt>
                <c:pt idx="5">
                  <c:v>319-328/940</c:v>
                </c:pt>
              </c:strCache>
            </c:strRef>
          </c:cat>
          <c:val>
            <c:numRef>
              <c:f>Лист5!$B$70:$G$70</c:f>
              <c:numCache>
                <c:formatCode>General</c:formatCode>
                <c:ptCount val="6"/>
                <c:pt idx="0">
                  <c:v>0.14499999999999999</c:v>
                </c:pt>
                <c:pt idx="1">
                  <c:v>0.17</c:v>
                </c:pt>
                <c:pt idx="2">
                  <c:v>0.121</c:v>
                </c:pt>
                <c:pt idx="3">
                  <c:v>0.23</c:v>
                </c:pt>
                <c:pt idx="4">
                  <c:v>0.14599999999999999</c:v>
                </c:pt>
                <c:pt idx="5">
                  <c:v>0.06</c:v>
                </c:pt>
              </c:numCache>
            </c:numRef>
          </c:val>
          <c:extLst>
            <c:ext xmlns:c16="http://schemas.microsoft.com/office/drawing/2014/chart" uri="{C3380CC4-5D6E-409C-BE32-E72D297353CC}">
              <c16:uniqueId val="{00000006-AA24-40FA-BA6E-5070660FC73B}"/>
            </c:ext>
          </c:extLst>
        </c:ser>
        <c:dLbls>
          <c:showLegendKey val="0"/>
          <c:showVal val="0"/>
          <c:showCatName val="0"/>
          <c:showSerName val="0"/>
          <c:showPercent val="0"/>
          <c:showBubbleSize val="0"/>
        </c:dLbls>
        <c:gapWidth val="150"/>
        <c:gapDepth val="0"/>
        <c:shape val="box"/>
        <c:axId val="2104473616"/>
        <c:axId val="1"/>
        <c:axId val="0"/>
      </c:bar3DChart>
      <c:catAx>
        <c:axId val="2104473616"/>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801" b="0" i="0" u="none" strike="noStrike" baseline="0">
                <a:solidFill>
                  <a:srgbClr val="000000"/>
                </a:solidFill>
                <a:latin typeface="Arial Cyr"/>
                <a:ea typeface="Arial Cyr"/>
                <a:cs typeface="Arial Cyr"/>
              </a:defRPr>
            </a:pPr>
            <a:endParaRPr lang="ru-RU"/>
          </a:p>
        </c:txPr>
        <c:crossAx val="1"/>
        <c:crosses val="autoZero"/>
        <c:auto val="0"/>
        <c:lblAlgn val="ctr"/>
        <c:lblOffset val="100"/>
        <c:tickLblSkip val="2"/>
        <c:tickMarkSkip val="1"/>
        <c:noMultiLvlLbl val="0"/>
      </c:catAx>
      <c:valAx>
        <c:axId val="1"/>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0" i="0" u="none" strike="noStrike" baseline="0">
                <a:solidFill>
                  <a:srgbClr val="000000"/>
                </a:solidFill>
                <a:latin typeface="Arial Cyr"/>
                <a:ea typeface="Arial Cyr"/>
                <a:cs typeface="Arial Cyr"/>
              </a:defRPr>
            </a:pPr>
            <a:endParaRPr lang="ru-RU"/>
          </a:p>
        </c:txPr>
        <c:crossAx val="2104473616"/>
        <c:crosses val="autoZero"/>
        <c:crossBetween val="between"/>
      </c:valAx>
      <c:spPr>
        <a:noFill/>
        <a:ln w="25419">
          <a:noFill/>
        </a:ln>
      </c:spPr>
    </c:plotArea>
    <c:legend>
      <c:legendPos val="r"/>
      <c:layout>
        <c:manualLayout>
          <c:xMode val="edge"/>
          <c:yMode val="edge"/>
          <c:x val="0.81147540983606559"/>
          <c:y val="0.19465648854961831"/>
          <c:w val="0.18852459016393441"/>
          <c:h val="0.80916030534351147"/>
        </c:manualLayout>
      </c:layout>
      <c:overlay val="0"/>
      <c:spPr>
        <a:solidFill>
          <a:srgbClr val="FFFFFF"/>
        </a:solidFill>
        <a:ln w="25419">
          <a:noFill/>
        </a:ln>
      </c:spPr>
      <c:txPr>
        <a:bodyPr/>
        <a:lstStyle/>
        <a:p>
          <a:pPr>
            <a:defRPr sz="1471"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12709">
      <a:solidFill>
        <a:srgbClr val="000000"/>
      </a:solidFill>
      <a:prstDash val="solid"/>
    </a:ln>
    <a:effectLst>
      <a:outerShdw dist="35921" dir="2700000" algn="br">
        <a:srgbClr val="000000"/>
      </a:outerShdw>
    </a:effectLst>
  </c:spPr>
  <c:txPr>
    <a:bodyPr/>
    <a:lstStyle/>
    <a:p>
      <a:pPr>
        <a:defRPr sz="801"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161</Pages>
  <Words>47182</Words>
  <Characters>268943</Characters>
  <Application>Microsoft Office Word</Application>
  <DocSecurity>0</DocSecurity>
  <Lines>2241</Lines>
  <Paragraphs>630</Paragraphs>
  <ScaleCrop>false</ScaleCrop>
  <HeadingPairs>
    <vt:vector size="2" baseType="variant">
      <vt:variant>
        <vt:lpstr>Название</vt:lpstr>
      </vt:variant>
      <vt:variant>
        <vt:i4>1</vt:i4>
      </vt:variant>
    </vt:vector>
  </HeadingPairs>
  <TitlesOfParts>
    <vt:vector size="1" baseType="lpstr">
      <vt:lpstr>НАУЧНО-ИССЛЕДОВАТЕЛЬСКАЯ ОРГАНИЗАЦИЯ</vt:lpstr>
    </vt:vector>
  </TitlesOfParts>
  <Company>345354</Company>
  <LinksUpToDate>false</LinksUpToDate>
  <CharactersWithSpaces>315495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НАУЧНО-ИССЛЕДОВАТЕЛЬСКАЯ ОРГАНИЗАЦИЯ</dc:title>
  <dc:subject/>
  <dc:creator>311123</dc:creator>
  <cp:keywords/>
  <dc:description/>
  <cp:lastModifiedBy>lenovo</cp:lastModifiedBy>
  <cp:revision>2</cp:revision>
  <cp:lastPrinted>2004-09-20T06:53:00Z</cp:lastPrinted>
  <dcterms:created xsi:type="dcterms:W3CDTF">2025-08-16T18:16:00Z</dcterms:created>
  <dcterms:modified xsi:type="dcterms:W3CDTF">2025-08-16T18:16:00Z</dcterms:modified>
</cp:coreProperties>
</file>